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2F" w:rsidRDefault="006D522F" w:rsidP="006D522F">
      <w:pPr>
        <w:spacing w:after="0"/>
        <w:rPr>
          <w:sz w:val="24"/>
          <w:szCs w:val="24"/>
        </w:rPr>
      </w:pPr>
      <w:r>
        <w:rPr>
          <w:sz w:val="24"/>
          <w:szCs w:val="24"/>
        </w:rPr>
        <w:t>IMPACT CURRICULUM</w:t>
      </w:r>
    </w:p>
    <w:p w:rsidR="006D522F" w:rsidRDefault="006D522F" w:rsidP="006D522F">
      <w:pPr>
        <w:spacing w:after="0"/>
        <w:rPr>
          <w:sz w:val="24"/>
          <w:szCs w:val="24"/>
        </w:rPr>
      </w:pPr>
      <w:bookmarkStart w:id="0" w:name="_GoBack"/>
      <w:bookmarkEnd w:id="0"/>
    </w:p>
    <w:p w:rsidR="006D522F" w:rsidRDefault="006D522F" w:rsidP="006D522F">
      <w:pPr>
        <w:pStyle w:val="ListParagraph"/>
        <w:numPr>
          <w:ilvl w:val="0"/>
          <w:numId w:val="2"/>
        </w:numPr>
        <w:spacing w:after="0"/>
        <w:rPr>
          <w:b/>
          <w:bCs/>
          <w:sz w:val="24"/>
          <w:szCs w:val="24"/>
          <w:u w:val="single"/>
        </w:rPr>
      </w:pPr>
      <w:r>
        <w:rPr>
          <w:b/>
          <w:bCs/>
          <w:sz w:val="24"/>
          <w:szCs w:val="24"/>
          <w:u w:val="single"/>
        </w:rPr>
        <w:t xml:space="preserve">Orientation </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The first year of medical school begins with an orientation day which helps students transition from the pre-medical years to medical school.  During this day:</w:t>
      </w:r>
    </w:p>
    <w:p w:rsidR="006D522F" w:rsidRDefault="006D522F" w:rsidP="006D522F">
      <w:pPr>
        <w:spacing w:after="0"/>
        <w:rPr>
          <w:sz w:val="24"/>
          <w:szCs w:val="24"/>
        </w:rPr>
      </w:pPr>
    </w:p>
    <w:p w:rsidR="006D522F" w:rsidRDefault="006D522F" w:rsidP="006D522F">
      <w:pPr>
        <w:numPr>
          <w:ilvl w:val="0"/>
          <w:numId w:val="3"/>
        </w:numPr>
        <w:spacing w:after="0"/>
        <w:rPr>
          <w:sz w:val="24"/>
          <w:szCs w:val="24"/>
        </w:rPr>
      </w:pPr>
      <w:r>
        <w:rPr>
          <w:sz w:val="24"/>
          <w:szCs w:val="24"/>
        </w:rPr>
        <w:t xml:space="preserve">The administrative team and faculty members at AUBFM and AUBMC welcome the students.  The vision, mission, philosophy and structure of the </w:t>
      </w:r>
      <w:r>
        <w:rPr>
          <w:i/>
          <w:iCs/>
          <w:sz w:val="24"/>
          <w:szCs w:val="24"/>
        </w:rPr>
        <w:t>IMPACT Curriculum</w:t>
      </w:r>
      <w:r>
        <w:rPr>
          <w:sz w:val="24"/>
          <w:szCs w:val="24"/>
        </w:rPr>
        <w:t xml:space="preserve"> are shared with them, as well as the applicable rules and regulations, and the students’ rights and responsibilities.</w:t>
      </w:r>
    </w:p>
    <w:p w:rsidR="006D522F" w:rsidRDefault="006D522F" w:rsidP="006D522F">
      <w:pPr>
        <w:numPr>
          <w:ilvl w:val="0"/>
          <w:numId w:val="3"/>
        </w:numPr>
        <w:spacing w:after="0"/>
        <w:rPr>
          <w:sz w:val="24"/>
          <w:szCs w:val="24"/>
        </w:rPr>
      </w:pPr>
      <w:r>
        <w:rPr>
          <w:sz w:val="24"/>
          <w:szCs w:val="24"/>
        </w:rPr>
        <w:t>The students take the Medical Student Pledge and sign a copy of it which is kept in their records as a commitment to uphold the principles of professionalism and ethics (see section II in this manual).</w:t>
      </w:r>
    </w:p>
    <w:p w:rsidR="006D522F" w:rsidRDefault="006D522F" w:rsidP="006D522F">
      <w:pPr>
        <w:numPr>
          <w:ilvl w:val="0"/>
          <w:numId w:val="3"/>
        </w:numPr>
        <w:spacing w:after="0"/>
        <w:rPr>
          <w:sz w:val="24"/>
          <w:szCs w:val="24"/>
        </w:rPr>
      </w:pPr>
      <w:r>
        <w:rPr>
          <w:sz w:val="24"/>
          <w:szCs w:val="24"/>
        </w:rPr>
        <w:t>Students make an orientation visit to the medical school and the medical center</w:t>
      </w:r>
    </w:p>
    <w:p w:rsidR="006D522F" w:rsidRDefault="006D522F" w:rsidP="006D522F">
      <w:pPr>
        <w:spacing w:after="0"/>
        <w:ind w:left="720"/>
        <w:rPr>
          <w:sz w:val="24"/>
          <w:szCs w:val="24"/>
        </w:rPr>
      </w:pPr>
    </w:p>
    <w:p w:rsidR="006D522F" w:rsidRDefault="006D522F" w:rsidP="006D522F">
      <w:pPr>
        <w:numPr>
          <w:ilvl w:val="0"/>
          <w:numId w:val="3"/>
        </w:numPr>
        <w:spacing w:after="0"/>
        <w:rPr>
          <w:sz w:val="24"/>
          <w:szCs w:val="24"/>
        </w:rPr>
      </w:pPr>
      <w:r>
        <w:rPr>
          <w:sz w:val="24"/>
          <w:szCs w:val="24"/>
        </w:rPr>
        <w:t>Students are introduced to some specific approaches in learning (e.g. team based learning) through a dedicated workshop.</w:t>
      </w:r>
    </w:p>
    <w:p w:rsidR="006D522F" w:rsidRDefault="006D522F" w:rsidP="006D522F">
      <w:pPr>
        <w:spacing w:after="0"/>
        <w:ind w:left="720"/>
        <w:rPr>
          <w:sz w:val="24"/>
          <w:szCs w:val="24"/>
        </w:rPr>
      </w:pPr>
    </w:p>
    <w:p w:rsidR="006D522F" w:rsidRDefault="006D522F" w:rsidP="006D522F">
      <w:pPr>
        <w:numPr>
          <w:ilvl w:val="0"/>
          <w:numId w:val="3"/>
        </w:numPr>
        <w:spacing w:after="0"/>
        <w:rPr>
          <w:sz w:val="24"/>
          <w:szCs w:val="24"/>
        </w:rPr>
      </w:pPr>
      <w:r>
        <w:rPr>
          <w:sz w:val="24"/>
          <w:szCs w:val="24"/>
        </w:rPr>
        <w:t>The first meeting with student advisors is held usually within the first or second weeks of medical school. See section XII – student advising.</w:t>
      </w:r>
    </w:p>
    <w:p w:rsidR="006D522F" w:rsidRDefault="006D522F" w:rsidP="006D522F">
      <w:pPr>
        <w:spacing w:after="0"/>
        <w:rPr>
          <w:b/>
          <w:bCs/>
          <w:sz w:val="24"/>
          <w:szCs w:val="24"/>
          <w:u w:val="single"/>
        </w:rPr>
      </w:pPr>
    </w:p>
    <w:p w:rsidR="006D522F" w:rsidRDefault="006D522F" w:rsidP="006D522F">
      <w:pPr>
        <w:pStyle w:val="ListParagraph"/>
        <w:numPr>
          <w:ilvl w:val="0"/>
          <w:numId w:val="2"/>
        </w:numPr>
        <w:spacing w:after="0"/>
        <w:rPr>
          <w:b/>
          <w:bCs/>
          <w:sz w:val="24"/>
          <w:szCs w:val="24"/>
          <w:u w:val="single"/>
        </w:rPr>
      </w:pPr>
      <w:r>
        <w:rPr>
          <w:b/>
          <w:bCs/>
          <w:sz w:val="24"/>
          <w:szCs w:val="24"/>
          <w:u w:val="single"/>
        </w:rPr>
        <w:t>Years 1 and 2:</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Following the orientation day(s), the formal curriculum begins.  First year is composed of 2 broad sections (see figure 1):</w:t>
      </w:r>
    </w:p>
    <w:p w:rsidR="006D522F" w:rsidRDefault="006D522F" w:rsidP="006D522F">
      <w:pPr>
        <w:spacing w:after="0"/>
        <w:rPr>
          <w:sz w:val="24"/>
          <w:szCs w:val="24"/>
        </w:rPr>
      </w:pPr>
    </w:p>
    <w:p w:rsidR="006D522F" w:rsidRDefault="006D522F" w:rsidP="006D522F">
      <w:pPr>
        <w:numPr>
          <w:ilvl w:val="0"/>
          <w:numId w:val="4"/>
        </w:numPr>
        <w:spacing w:after="0"/>
        <w:rPr>
          <w:sz w:val="24"/>
          <w:szCs w:val="24"/>
        </w:rPr>
      </w:pPr>
      <w:r>
        <w:rPr>
          <w:sz w:val="24"/>
          <w:szCs w:val="24"/>
        </w:rPr>
        <w:t xml:space="preserve">An initial </w:t>
      </w:r>
      <w:r>
        <w:rPr>
          <w:b/>
          <w:bCs/>
          <w:sz w:val="24"/>
          <w:szCs w:val="24"/>
        </w:rPr>
        <w:t>Foundations Block</w:t>
      </w:r>
      <w:r>
        <w:rPr>
          <w:sz w:val="24"/>
          <w:szCs w:val="24"/>
        </w:rPr>
        <w:t xml:space="preserve">, in which the basic principles and the language of the medical sciences are learned through specific courses – as listed in the figure. This block is subdivided into 3 periods: the first explores normal structure and function at the gross and cellular level in an integrated manner; the second explores host defense processes (immunology and diseases related to the immune system) and basic pathological mechanisms; the third section explores basic microbiology and related infectious diseases.  Thus starting in sections 2 and 3, the integration between the basic and clinical sciences becomes apparent in the courses of immunology and infectious diseases, and this becomes fully fledged in the second block of year I and all of year II.  In addition to the basic biomedical sciences, a course in fundamentals of medical research presents the empirical and scientific basis of medical knowledge through </w:t>
      </w:r>
      <w:r>
        <w:rPr>
          <w:sz w:val="24"/>
          <w:szCs w:val="24"/>
        </w:rPr>
        <w:lastRenderedPageBreak/>
        <w:t>learning about epidemiological principles and approaches, biostatistics and the principles of evidence based medicine.</w:t>
      </w:r>
    </w:p>
    <w:p w:rsidR="006D522F" w:rsidRDefault="006D522F" w:rsidP="006D522F">
      <w:pPr>
        <w:spacing w:after="0"/>
        <w:ind w:left="720"/>
        <w:rPr>
          <w:sz w:val="24"/>
          <w:szCs w:val="24"/>
        </w:rPr>
      </w:pPr>
    </w:p>
    <w:p w:rsidR="006D522F" w:rsidRDefault="006D522F" w:rsidP="006D522F">
      <w:pPr>
        <w:numPr>
          <w:ilvl w:val="0"/>
          <w:numId w:val="4"/>
        </w:numPr>
        <w:spacing w:after="0"/>
        <w:rPr>
          <w:sz w:val="24"/>
          <w:szCs w:val="24"/>
        </w:rPr>
      </w:pPr>
      <w:r>
        <w:rPr>
          <w:sz w:val="24"/>
          <w:szCs w:val="24"/>
        </w:rPr>
        <w:t xml:space="preserve">A second </w:t>
      </w:r>
      <w:r>
        <w:rPr>
          <w:b/>
          <w:bCs/>
          <w:sz w:val="24"/>
          <w:szCs w:val="24"/>
        </w:rPr>
        <w:t>Organ-Systems Block</w:t>
      </w:r>
      <w:r>
        <w:rPr>
          <w:sz w:val="24"/>
          <w:szCs w:val="24"/>
        </w:rPr>
        <w:t xml:space="preserve">, which uses an organ-system based approach to learning that integrates all the basic sciences horizontally.  This approach continues throughout Year 2.  The principles learned in the Fundamentals of Medical Research course get integrated into the organ system modules, which achieves 3 objectives: </w:t>
      </w:r>
    </w:p>
    <w:p w:rsidR="006D522F" w:rsidRDefault="006D522F" w:rsidP="006D522F">
      <w:pPr>
        <w:spacing w:after="0"/>
        <w:rPr>
          <w:sz w:val="24"/>
          <w:szCs w:val="24"/>
        </w:rPr>
      </w:pPr>
    </w:p>
    <w:p w:rsidR="006D522F" w:rsidRDefault="006D522F" w:rsidP="006D522F">
      <w:pPr>
        <w:numPr>
          <w:ilvl w:val="1"/>
          <w:numId w:val="4"/>
        </w:numPr>
        <w:spacing w:after="0"/>
        <w:rPr>
          <w:sz w:val="24"/>
          <w:szCs w:val="24"/>
        </w:rPr>
      </w:pPr>
      <w:r>
        <w:rPr>
          <w:sz w:val="24"/>
          <w:szCs w:val="24"/>
        </w:rPr>
        <w:t>It revisits the principles of epidemiology and biostatistics learned in Block 1 from a more applied perspective, thus reinforcing them</w:t>
      </w:r>
    </w:p>
    <w:p w:rsidR="006D522F" w:rsidRDefault="006D522F" w:rsidP="006D522F">
      <w:pPr>
        <w:numPr>
          <w:ilvl w:val="1"/>
          <w:numId w:val="4"/>
        </w:numPr>
        <w:spacing w:after="0"/>
        <w:rPr>
          <w:sz w:val="24"/>
          <w:szCs w:val="24"/>
        </w:rPr>
      </w:pPr>
      <w:r>
        <w:rPr>
          <w:sz w:val="24"/>
          <w:szCs w:val="24"/>
        </w:rPr>
        <w:t>It complements the knowledge about the organ system being studied</w:t>
      </w:r>
    </w:p>
    <w:p w:rsidR="006D522F" w:rsidRDefault="006D522F" w:rsidP="006D522F">
      <w:pPr>
        <w:numPr>
          <w:ilvl w:val="1"/>
          <w:numId w:val="4"/>
        </w:numPr>
        <w:spacing w:after="0"/>
        <w:rPr>
          <w:sz w:val="24"/>
          <w:szCs w:val="24"/>
        </w:rPr>
      </w:pPr>
      <w:r>
        <w:rPr>
          <w:sz w:val="24"/>
          <w:szCs w:val="24"/>
        </w:rPr>
        <w:t xml:space="preserve">It trains students in evidence based medicine (EBM) by emphasizing primary sources in the literature. </w:t>
      </w:r>
    </w:p>
    <w:p w:rsidR="006D522F" w:rsidRDefault="006D522F" w:rsidP="006D522F">
      <w:pPr>
        <w:spacing w:after="0"/>
        <w:rPr>
          <w:sz w:val="24"/>
          <w:szCs w:val="24"/>
        </w:rPr>
      </w:pPr>
      <w:r>
        <w:rPr>
          <w:sz w:val="24"/>
          <w:szCs w:val="24"/>
        </w:rPr>
        <w:t>This course also requires the students to conduct a group research project that applies the principles learnt.</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 xml:space="preserve">These two sections, the Foundations Block and the Organ-System Block, thus constitute the Science of Medicine thread of the students’ education during the first 2 years. </w:t>
      </w:r>
    </w:p>
    <w:tbl>
      <w:tblPr>
        <w:tblW w:w="10420" w:type="dxa"/>
        <w:jc w:val="center"/>
        <w:tblInd w:w="93" w:type="dxa"/>
        <w:tblLook w:val="04A0" w:firstRow="1" w:lastRow="0" w:firstColumn="1" w:lastColumn="0" w:noHBand="0" w:noVBand="1"/>
      </w:tblPr>
      <w:tblGrid>
        <w:gridCol w:w="1540"/>
        <w:gridCol w:w="1480"/>
        <w:gridCol w:w="2960"/>
        <w:gridCol w:w="1323"/>
        <w:gridCol w:w="1530"/>
        <w:gridCol w:w="1587"/>
      </w:tblGrid>
      <w:tr w:rsidR="006D522F" w:rsidTr="006D522F">
        <w:trPr>
          <w:trHeight w:val="692"/>
          <w:jc w:val="center"/>
        </w:trPr>
        <w:tc>
          <w:tcPr>
            <w:tcW w:w="1540"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rPr>
                <w:b/>
                <w:bCs/>
              </w:rPr>
            </w:pPr>
            <w:r>
              <w:rPr>
                <w:b/>
                <w:bCs/>
              </w:rPr>
              <w:t>Duration</w:t>
            </w:r>
          </w:p>
        </w:tc>
        <w:tc>
          <w:tcPr>
            <w:tcW w:w="444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rPr>
            </w:pPr>
            <w:r>
              <w:rPr>
                <w:b/>
                <w:bCs/>
              </w:rPr>
              <w:t xml:space="preserve">Year 1 </w:t>
            </w:r>
          </w:p>
        </w:tc>
        <w:tc>
          <w:tcPr>
            <w:tcW w:w="4440" w:type="dxa"/>
            <w:gridSpan w:val="3"/>
            <w:tcBorders>
              <w:top w:val="single" w:sz="4" w:space="0" w:color="auto"/>
              <w:left w:val="nil"/>
              <w:bottom w:val="single" w:sz="4" w:space="0" w:color="auto"/>
              <w:right w:val="single" w:sz="4" w:space="0" w:color="auto"/>
            </w:tcBorders>
            <w:shd w:val="clear" w:color="auto" w:fill="FFFF00"/>
            <w:vAlign w:val="center"/>
            <w:hideMark/>
          </w:tcPr>
          <w:p w:rsidR="006D522F" w:rsidRDefault="006D522F">
            <w:pPr>
              <w:spacing w:after="0"/>
              <w:jc w:val="center"/>
              <w:rPr>
                <w:b/>
                <w:bCs/>
              </w:rPr>
            </w:pPr>
            <w:r>
              <w:rPr>
                <w:b/>
                <w:bCs/>
              </w:rPr>
              <w:t xml:space="preserve">Remainder of Year 1 </w:t>
            </w:r>
          </w:p>
          <w:p w:rsidR="006D522F" w:rsidRDefault="006D522F">
            <w:pPr>
              <w:spacing w:after="0"/>
              <w:jc w:val="center"/>
              <w:rPr>
                <w:b/>
                <w:bCs/>
              </w:rPr>
            </w:pPr>
            <w:r>
              <w:rPr>
                <w:b/>
                <w:bCs/>
              </w:rPr>
              <w:t>and All Year 2*</w:t>
            </w:r>
          </w:p>
        </w:tc>
      </w:tr>
      <w:tr w:rsidR="006D522F" w:rsidTr="006D522F">
        <w:trPr>
          <w:trHeight w:val="512"/>
          <w:jc w:val="center"/>
        </w:trPr>
        <w:tc>
          <w:tcPr>
            <w:tcW w:w="1540"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rPr>
                <w:b/>
                <w:bCs/>
              </w:rPr>
            </w:pPr>
            <w:r>
              <w:rPr>
                <w:b/>
                <w:bCs/>
              </w:rPr>
              <w:t>Thread</w:t>
            </w:r>
          </w:p>
        </w:tc>
        <w:tc>
          <w:tcPr>
            <w:tcW w:w="4440" w:type="dxa"/>
            <w:gridSpan w:val="2"/>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rPr>
            </w:pPr>
            <w:r>
              <w:rPr>
                <w:b/>
                <w:bCs/>
              </w:rPr>
              <w:t>Foundations Block</w:t>
            </w:r>
          </w:p>
        </w:tc>
        <w:tc>
          <w:tcPr>
            <w:tcW w:w="4440" w:type="dxa"/>
            <w:gridSpan w:val="3"/>
            <w:tcBorders>
              <w:top w:val="single" w:sz="4" w:space="0" w:color="auto"/>
              <w:left w:val="nil"/>
              <w:bottom w:val="single" w:sz="4" w:space="0" w:color="auto"/>
              <w:right w:val="single" w:sz="4" w:space="0" w:color="auto"/>
            </w:tcBorders>
            <w:shd w:val="clear" w:color="auto" w:fill="FFFF00"/>
            <w:vAlign w:val="center"/>
            <w:hideMark/>
          </w:tcPr>
          <w:p w:rsidR="006D522F" w:rsidRDefault="006D522F">
            <w:pPr>
              <w:spacing w:after="0"/>
              <w:jc w:val="center"/>
              <w:rPr>
                <w:b/>
                <w:bCs/>
              </w:rPr>
            </w:pPr>
            <w:r>
              <w:rPr>
                <w:b/>
                <w:bCs/>
              </w:rPr>
              <w:t>Organ-System Based Integrated Courses</w:t>
            </w:r>
          </w:p>
        </w:tc>
      </w:tr>
      <w:tr w:rsidR="006D522F" w:rsidTr="006D522F">
        <w:trPr>
          <w:trHeight w:val="1455"/>
          <w:jc w:val="center"/>
        </w:trPr>
        <w:tc>
          <w:tcPr>
            <w:tcW w:w="1540" w:type="dxa"/>
            <w:vMerge w:val="restart"/>
            <w:tcBorders>
              <w:top w:val="nil"/>
              <w:left w:val="single" w:sz="4" w:space="0" w:color="auto"/>
              <w:bottom w:val="single" w:sz="4" w:space="0" w:color="000000"/>
              <w:right w:val="single" w:sz="4" w:space="0" w:color="auto"/>
            </w:tcBorders>
            <w:shd w:val="clear" w:color="auto" w:fill="CCFFCC"/>
            <w:vAlign w:val="center"/>
            <w:hideMark/>
          </w:tcPr>
          <w:p w:rsidR="006D522F" w:rsidRDefault="006D522F">
            <w:pPr>
              <w:spacing w:after="0"/>
            </w:pPr>
            <w:r>
              <w:t xml:space="preserve">The </w:t>
            </w:r>
          </w:p>
          <w:p w:rsidR="006D522F" w:rsidRDefault="006D522F">
            <w:pPr>
              <w:spacing w:after="0"/>
            </w:pPr>
            <w:r>
              <w:t>Science of Medicine</w:t>
            </w:r>
          </w:p>
        </w:tc>
        <w:tc>
          <w:tcPr>
            <w:tcW w:w="4440" w:type="dxa"/>
            <w:gridSpan w:val="2"/>
            <w:vMerge w:val="restart"/>
            <w:tcBorders>
              <w:top w:val="single" w:sz="4" w:space="0" w:color="auto"/>
              <w:left w:val="single" w:sz="4" w:space="0" w:color="auto"/>
              <w:bottom w:val="single" w:sz="4" w:space="0" w:color="000000"/>
              <w:right w:val="single" w:sz="4" w:space="0" w:color="000000"/>
            </w:tcBorders>
            <w:shd w:val="clear" w:color="auto" w:fill="FFCC99"/>
            <w:vAlign w:val="center"/>
            <w:hideMark/>
          </w:tcPr>
          <w:p w:rsidR="006D522F" w:rsidRDefault="006D522F">
            <w:pPr>
              <w:spacing w:after="0"/>
              <w:rPr>
                <w:u w:val="single"/>
              </w:rPr>
            </w:pPr>
            <w:r>
              <w:rPr>
                <w:u w:val="single"/>
              </w:rPr>
              <w:t>Topics include:</w:t>
            </w:r>
          </w:p>
          <w:p w:rsidR="006D522F" w:rsidRDefault="006D522F">
            <w:pPr>
              <w:spacing w:after="0"/>
              <w:jc w:val="center"/>
            </w:pPr>
            <w:r>
              <w:t>Gross Anatomy</w:t>
            </w:r>
            <w:r>
              <w:br/>
              <w:t>Histology</w:t>
            </w:r>
            <w:r>
              <w:br/>
              <w:t>Biochemistry</w:t>
            </w:r>
            <w:r>
              <w:br/>
              <w:t>Genetics in Health and Disease</w:t>
            </w:r>
            <w:r>
              <w:br/>
              <w:t>Basic Cell Physiology and Biophysics</w:t>
            </w:r>
            <w:r>
              <w:br/>
              <w:t>Basic Pathological Processes</w:t>
            </w:r>
            <w:r>
              <w:br/>
              <w:t>Principles of Drug Action</w:t>
            </w:r>
            <w:r>
              <w:br/>
              <w:t>Microbiology</w:t>
            </w:r>
            <w:r>
              <w:br/>
              <w:t xml:space="preserve">Immunology </w:t>
            </w:r>
          </w:p>
        </w:tc>
        <w:tc>
          <w:tcPr>
            <w:tcW w:w="1369" w:type="dxa"/>
            <w:vMerge w:val="restart"/>
            <w:tcBorders>
              <w:top w:val="nil"/>
              <w:left w:val="single" w:sz="4" w:space="0" w:color="auto"/>
              <w:bottom w:val="single" w:sz="4" w:space="0" w:color="FFCC99"/>
              <w:right w:val="single" w:sz="4" w:space="0" w:color="auto"/>
            </w:tcBorders>
            <w:shd w:val="clear" w:color="auto" w:fill="FFCC99"/>
            <w:vAlign w:val="center"/>
            <w:hideMark/>
          </w:tcPr>
          <w:p w:rsidR="006D522F" w:rsidRDefault="006D522F">
            <w:pPr>
              <w:spacing w:after="0"/>
              <w:jc w:val="center"/>
            </w:pPr>
            <w:r>
              <w:t>e.g.</w:t>
            </w:r>
          </w:p>
          <w:p w:rsidR="006D522F" w:rsidRDefault="006D522F">
            <w:pPr>
              <w:spacing w:after="0"/>
              <w:jc w:val="center"/>
            </w:pPr>
            <w:r>
              <w:t>The Blood</w:t>
            </w:r>
          </w:p>
        </w:tc>
        <w:tc>
          <w:tcPr>
            <w:tcW w:w="1335" w:type="dxa"/>
            <w:vMerge w:val="restart"/>
            <w:tcBorders>
              <w:top w:val="nil"/>
              <w:left w:val="single" w:sz="4" w:space="0" w:color="auto"/>
              <w:bottom w:val="single" w:sz="4" w:space="0" w:color="FFCC99"/>
              <w:right w:val="single" w:sz="4" w:space="0" w:color="auto"/>
            </w:tcBorders>
            <w:shd w:val="clear" w:color="auto" w:fill="FFCC99"/>
            <w:vAlign w:val="center"/>
            <w:hideMark/>
          </w:tcPr>
          <w:p w:rsidR="006D522F" w:rsidRDefault="006D522F">
            <w:pPr>
              <w:spacing w:after="0"/>
              <w:jc w:val="center"/>
            </w:pPr>
            <w:r>
              <w:t>e.g.</w:t>
            </w:r>
          </w:p>
          <w:p w:rsidR="006D522F" w:rsidRDefault="006D522F">
            <w:pPr>
              <w:spacing w:after="0"/>
              <w:jc w:val="center"/>
            </w:pPr>
            <w:r>
              <w:t>The Cardiovascular System</w:t>
            </w:r>
          </w:p>
        </w:tc>
        <w:tc>
          <w:tcPr>
            <w:tcW w:w="1736" w:type="dxa"/>
            <w:vMerge w:val="restart"/>
            <w:tcBorders>
              <w:top w:val="nil"/>
              <w:left w:val="single" w:sz="4" w:space="0" w:color="auto"/>
              <w:bottom w:val="single" w:sz="4" w:space="0" w:color="FFCC99"/>
              <w:right w:val="single" w:sz="4" w:space="0" w:color="auto"/>
            </w:tcBorders>
            <w:shd w:val="clear" w:color="auto" w:fill="FFCC99"/>
            <w:vAlign w:val="center"/>
            <w:hideMark/>
          </w:tcPr>
          <w:p w:rsidR="006D522F" w:rsidRDefault="006D522F">
            <w:pPr>
              <w:spacing w:after="0"/>
              <w:jc w:val="center"/>
            </w:pPr>
            <w:r>
              <w:t>e.g.</w:t>
            </w:r>
          </w:p>
          <w:p w:rsidR="006D522F" w:rsidRDefault="006D522F">
            <w:pPr>
              <w:spacing w:after="0"/>
              <w:jc w:val="center"/>
            </w:pPr>
            <w:r>
              <w:t>The GI System</w:t>
            </w:r>
          </w:p>
        </w:tc>
      </w:tr>
      <w:tr w:rsidR="006D522F" w:rsidTr="006D522F">
        <w:trPr>
          <w:trHeight w:val="1232"/>
          <w:jc w:val="center"/>
        </w:trPr>
        <w:tc>
          <w:tcPr>
            <w:tcW w:w="0" w:type="auto"/>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6D522F" w:rsidRDefault="006D522F">
            <w:pPr>
              <w:spacing w:after="0" w:line="240" w:lineRule="auto"/>
            </w:pPr>
          </w:p>
        </w:tc>
        <w:tc>
          <w:tcPr>
            <w:tcW w:w="0" w:type="auto"/>
            <w:vMerge/>
            <w:tcBorders>
              <w:top w:val="nil"/>
              <w:left w:val="single" w:sz="4" w:space="0" w:color="auto"/>
              <w:bottom w:val="single" w:sz="4" w:space="0" w:color="FFCC99"/>
              <w:right w:val="single" w:sz="4" w:space="0" w:color="auto"/>
            </w:tcBorders>
            <w:vAlign w:val="center"/>
            <w:hideMark/>
          </w:tcPr>
          <w:p w:rsidR="006D522F" w:rsidRDefault="006D522F">
            <w:pPr>
              <w:spacing w:after="0" w:line="240" w:lineRule="auto"/>
            </w:pPr>
          </w:p>
        </w:tc>
        <w:tc>
          <w:tcPr>
            <w:tcW w:w="0" w:type="auto"/>
            <w:vMerge/>
            <w:tcBorders>
              <w:top w:val="nil"/>
              <w:left w:val="single" w:sz="4" w:space="0" w:color="auto"/>
              <w:bottom w:val="single" w:sz="4" w:space="0" w:color="FFCC99"/>
              <w:right w:val="single" w:sz="4" w:space="0" w:color="auto"/>
            </w:tcBorders>
            <w:vAlign w:val="center"/>
            <w:hideMark/>
          </w:tcPr>
          <w:p w:rsidR="006D522F" w:rsidRDefault="006D522F">
            <w:pPr>
              <w:spacing w:after="0" w:line="240" w:lineRule="auto"/>
            </w:pPr>
          </w:p>
        </w:tc>
        <w:tc>
          <w:tcPr>
            <w:tcW w:w="0" w:type="auto"/>
            <w:vMerge/>
            <w:tcBorders>
              <w:top w:val="nil"/>
              <w:left w:val="single" w:sz="4" w:space="0" w:color="auto"/>
              <w:bottom w:val="single" w:sz="4" w:space="0" w:color="FFCC99"/>
              <w:right w:val="single" w:sz="4" w:space="0" w:color="auto"/>
            </w:tcBorders>
            <w:vAlign w:val="center"/>
            <w:hideMark/>
          </w:tcPr>
          <w:p w:rsidR="006D522F" w:rsidRDefault="006D522F">
            <w:pPr>
              <w:spacing w:after="0" w:line="240" w:lineRule="auto"/>
            </w:pPr>
          </w:p>
        </w:tc>
      </w:tr>
      <w:tr w:rsidR="006D522F" w:rsidTr="006D522F">
        <w:trPr>
          <w:trHeight w:val="710"/>
          <w:jc w:val="center"/>
        </w:trPr>
        <w:tc>
          <w:tcPr>
            <w:tcW w:w="0" w:type="auto"/>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pPr>
          </w:p>
        </w:tc>
        <w:tc>
          <w:tcPr>
            <w:tcW w:w="4440" w:type="dxa"/>
            <w:gridSpan w:val="2"/>
            <w:tcBorders>
              <w:top w:val="single" w:sz="4" w:space="0" w:color="auto"/>
              <w:left w:val="nil"/>
              <w:bottom w:val="single" w:sz="4" w:space="0" w:color="auto"/>
              <w:right w:val="single" w:sz="4" w:space="0" w:color="000000"/>
            </w:tcBorders>
            <w:shd w:val="clear" w:color="auto" w:fill="FFCC99"/>
            <w:vAlign w:val="center"/>
            <w:hideMark/>
          </w:tcPr>
          <w:p w:rsidR="006D522F" w:rsidRDefault="006D522F">
            <w:pPr>
              <w:spacing w:after="0"/>
              <w:jc w:val="center"/>
            </w:pPr>
            <w:r>
              <w:t>Fundamentals of Medical Research - Epidemiology Biostatistics and Evidence Based Medicine</w:t>
            </w:r>
          </w:p>
        </w:tc>
        <w:tc>
          <w:tcPr>
            <w:tcW w:w="4440" w:type="dxa"/>
            <w:gridSpan w:val="3"/>
            <w:tcBorders>
              <w:top w:val="single" w:sz="4" w:space="0" w:color="FFCC99"/>
              <w:left w:val="nil"/>
              <w:bottom w:val="nil"/>
              <w:right w:val="single" w:sz="4" w:space="0" w:color="000000"/>
            </w:tcBorders>
            <w:shd w:val="clear" w:color="auto" w:fill="FFCC99"/>
            <w:vAlign w:val="center"/>
            <w:hideMark/>
          </w:tcPr>
          <w:p w:rsidR="006D522F" w:rsidRDefault="006D522F">
            <w:pPr>
              <w:spacing w:after="0"/>
              <w:jc w:val="center"/>
            </w:pPr>
            <w:r>
              <w:t xml:space="preserve">Epidemiology, Biostatistics </w:t>
            </w:r>
            <w:r>
              <w:br/>
              <w:t>and EBM (includes group project)</w:t>
            </w:r>
          </w:p>
        </w:tc>
      </w:tr>
      <w:tr w:rsidR="006D522F" w:rsidTr="006D522F">
        <w:trPr>
          <w:trHeight w:val="525"/>
          <w:jc w:val="center"/>
        </w:trPr>
        <w:tc>
          <w:tcPr>
            <w:tcW w:w="1540" w:type="dxa"/>
            <w:tcBorders>
              <w:top w:val="nil"/>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pPr>
            <w:r>
              <w:t>The Art of  Medicine</w:t>
            </w:r>
          </w:p>
        </w:tc>
        <w:tc>
          <w:tcPr>
            <w:tcW w:w="1480" w:type="dxa"/>
            <w:vMerge w:val="restart"/>
            <w:tcBorders>
              <w:top w:val="nil"/>
              <w:left w:val="nil"/>
              <w:bottom w:val="single" w:sz="4" w:space="0" w:color="000000"/>
              <w:right w:val="single" w:sz="4" w:space="0" w:color="CCFFFF"/>
            </w:tcBorders>
            <w:shd w:val="clear" w:color="auto" w:fill="CCFFFF"/>
            <w:vAlign w:val="center"/>
            <w:hideMark/>
          </w:tcPr>
          <w:p w:rsidR="006D522F" w:rsidRDefault="006D522F">
            <w:pPr>
              <w:spacing w:after="0"/>
            </w:pPr>
            <w:r>
              <w:t>Becoming a Doctor</w:t>
            </w:r>
          </w:p>
        </w:tc>
        <w:tc>
          <w:tcPr>
            <w:tcW w:w="2960" w:type="dxa"/>
            <w:tcBorders>
              <w:top w:val="single" w:sz="4" w:space="0" w:color="auto"/>
              <w:left w:val="single" w:sz="4" w:space="0" w:color="CCFFFF"/>
              <w:bottom w:val="dotted" w:sz="4" w:space="0" w:color="auto"/>
              <w:right w:val="single" w:sz="4" w:space="0" w:color="auto"/>
            </w:tcBorders>
            <w:shd w:val="clear" w:color="auto" w:fill="CCFFFF"/>
            <w:vAlign w:val="center"/>
            <w:hideMark/>
          </w:tcPr>
          <w:p w:rsidR="006D522F" w:rsidRDefault="006D522F">
            <w:pPr>
              <w:spacing w:after="0"/>
              <w:jc w:val="center"/>
            </w:pPr>
            <w:r>
              <w:t>Clinical and Communication Skills</w:t>
            </w:r>
          </w:p>
        </w:tc>
        <w:tc>
          <w:tcPr>
            <w:tcW w:w="1369" w:type="dxa"/>
            <w:vMerge w:val="restart"/>
            <w:tcBorders>
              <w:top w:val="single" w:sz="4" w:space="0" w:color="CCFFFF"/>
              <w:left w:val="nil"/>
              <w:bottom w:val="single" w:sz="4" w:space="0" w:color="000000"/>
              <w:right w:val="single" w:sz="4" w:space="0" w:color="CCFFFF"/>
            </w:tcBorders>
            <w:shd w:val="clear" w:color="auto" w:fill="CCFFFF"/>
            <w:vAlign w:val="center"/>
            <w:hideMark/>
          </w:tcPr>
          <w:p w:rsidR="006D522F" w:rsidRDefault="006D522F">
            <w:pPr>
              <w:spacing w:after="0"/>
            </w:pPr>
            <w:r>
              <w:t xml:space="preserve">Becoming </w:t>
            </w:r>
            <w:r>
              <w:br/>
              <w:t>a Doctor</w:t>
            </w:r>
          </w:p>
        </w:tc>
        <w:tc>
          <w:tcPr>
            <w:tcW w:w="3071" w:type="dxa"/>
            <w:gridSpan w:val="2"/>
            <w:tcBorders>
              <w:top w:val="single" w:sz="4" w:space="0" w:color="CCFFFF"/>
              <w:left w:val="single" w:sz="4" w:space="0" w:color="CCFFFF"/>
              <w:bottom w:val="dotted" w:sz="4" w:space="0" w:color="auto"/>
              <w:right w:val="single" w:sz="4" w:space="0" w:color="auto"/>
            </w:tcBorders>
            <w:shd w:val="clear" w:color="auto" w:fill="CCFFFF"/>
            <w:vAlign w:val="center"/>
            <w:hideMark/>
          </w:tcPr>
          <w:p w:rsidR="006D522F" w:rsidRDefault="006D522F">
            <w:pPr>
              <w:spacing w:after="0"/>
              <w:jc w:val="center"/>
            </w:pPr>
            <w:r>
              <w:t>Clinical and Communication Skills</w:t>
            </w:r>
          </w:p>
        </w:tc>
      </w:tr>
      <w:tr w:rsidR="006D522F" w:rsidTr="006D522F">
        <w:trPr>
          <w:trHeight w:val="525"/>
          <w:jc w:val="center"/>
        </w:trPr>
        <w:tc>
          <w:tcPr>
            <w:tcW w:w="1540" w:type="dxa"/>
            <w:vMerge w:val="restart"/>
            <w:tcBorders>
              <w:top w:val="nil"/>
              <w:left w:val="single" w:sz="4" w:space="0" w:color="auto"/>
              <w:bottom w:val="single" w:sz="4" w:space="0" w:color="000000"/>
              <w:right w:val="single" w:sz="4" w:space="0" w:color="auto"/>
            </w:tcBorders>
            <w:shd w:val="clear" w:color="auto" w:fill="CCFFCC"/>
            <w:vAlign w:val="center"/>
            <w:hideMark/>
          </w:tcPr>
          <w:p w:rsidR="006D522F" w:rsidRDefault="006D522F">
            <w:pPr>
              <w:spacing w:after="0"/>
            </w:pPr>
            <w:r>
              <w:t>Socio-cultural/ moral context &amp; professional development</w:t>
            </w:r>
          </w:p>
        </w:tc>
        <w:tc>
          <w:tcPr>
            <w:tcW w:w="0" w:type="auto"/>
            <w:vMerge/>
            <w:tcBorders>
              <w:top w:val="nil"/>
              <w:left w:val="nil"/>
              <w:bottom w:val="single" w:sz="4" w:space="0" w:color="000000"/>
              <w:right w:val="single" w:sz="4" w:space="0" w:color="CCFFFF"/>
            </w:tcBorders>
            <w:vAlign w:val="center"/>
            <w:hideMark/>
          </w:tcPr>
          <w:p w:rsidR="006D522F" w:rsidRDefault="006D522F">
            <w:pPr>
              <w:spacing w:after="0" w:line="240" w:lineRule="auto"/>
            </w:pPr>
          </w:p>
        </w:tc>
        <w:tc>
          <w:tcPr>
            <w:tcW w:w="2960" w:type="dxa"/>
            <w:tcBorders>
              <w:top w:val="dotted" w:sz="4" w:space="0" w:color="auto"/>
              <w:left w:val="single" w:sz="4" w:space="0" w:color="CCFFFF"/>
              <w:bottom w:val="dotted" w:sz="4" w:space="0" w:color="auto"/>
              <w:right w:val="single" w:sz="4" w:space="0" w:color="auto"/>
            </w:tcBorders>
            <w:shd w:val="clear" w:color="auto" w:fill="CCFFFF"/>
            <w:vAlign w:val="center"/>
            <w:hideMark/>
          </w:tcPr>
          <w:p w:rsidR="006D522F" w:rsidRDefault="006D522F">
            <w:pPr>
              <w:spacing w:after="0"/>
              <w:jc w:val="center"/>
            </w:pPr>
            <w:r>
              <w:t>Ethics, Professionalism, and Humanities</w:t>
            </w:r>
          </w:p>
        </w:tc>
        <w:tc>
          <w:tcPr>
            <w:tcW w:w="0" w:type="auto"/>
            <w:vMerge/>
            <w:tcBorders>
              <w:top w:val="single" w:sz="4" w:space="0" w:color="CCFFFF"/>
              <w:left w:val="nil"/>
              <w:bottom w:val="single" w:sz="4" w:space="0" w:color="000000"/>
              <w:right w:val="single" w:sz="4" w:space="0" w:color="CCFFFF"/>
            </w:tcBorders>
            <w:vAlign w:val="center"/>
            <w:hideMark/>
          </w:tcPr>
          <w:p w:rsidR="006D522F" w:rsidRDefault="006D522F">
            <w:pPr>
              <w:spacing w:after="0" w:line="240" w:lineRule="auto"/>
            </w:pPr>
          </w:p>
        </w:tc>
        <w:tc>
          <w:tcPr>
            <w:tcW w:w="3071" w:type="dxa"/>
            <w:gridSpan w:val="2"/>
            <w:tcBorders>
              <w:top w:val="dotted" w:sz="4" w:space="0" w:color="auto"/>
              <w:left w:val="single" w:sz="4" w:space="0" w:color="CCFFFF"/>
              <w:bottom w:val="dotted" w:sz="4" w:space="0" w:color="auto"/>
              <w:right w:val="single" w:sz="4" w:space="0" w:color="auto"/>
            </w:tcBorders>
            <w:shd w:val="clear" w:color="auto" w:fill="CCFFFF"/>
            <w:vAlign w:val="center"/>
            <w:hideMark/>
          </w:tcPr>
          <w:p w:rsidR="006D522F" w:rsidRDefault="006D522F">
            <w:pPr>
              <w:spacing w:after="0"/>
              <w:jc w:val="center"/>
            </w:pPr>
            <w:r>
              <w:t>Ethics, Professionalism, and Humanities</w:t>
            </w:r>
          </w:p>
        </w:tc>
      </w:tr>
      <w:tr w:rsidR="006D522F" w:rsidTr="006D522F">
        <w:trPr>
          <w:trHeight w:val="525"/>
          <w:jc w:val="center"/>
        </w:trPr>
        <w:tc>
          <w:tcPr>
            <w:tcW w:w="0" w:type="auto"/>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pPr>
          </w:p>
        </w:tc>
        <w:tc>
          <w:tcPr>
            <w:tcW w:w="0" w:type="auto"/>
            <w:vMerge/>
            <w:tcBorders>
              <w:top w:val="nil"/>
              <w:left w:val="nil"/>
              <w:bottom w:val="single" w:sz="4" w:space="0" w:color="000000"/>
              <w:right w:val="single" w:sz="4" w:space="0" w:color="CCFFFF"/>
            </w:tcBorders>
            <w:vAlign w:val="center"/>
            <w:hideMark/>
          </w:tcPr>
          <w:p w:rsidR="006D522F" w:rsidRDefault="006D522F">
            <w:pPr>
              <w:spacing w:after="0" w:line="240" w:lineRule="auto"/>
            </w:pPr>
          </w:p>
        </w:tc>
        <w:tc>
          <w:tcPr>
            <w:tcW w:w="2960" w:type="dxa"/>
            <w:tcBorders>
              <w:top w:val="dotted" w:sz="4" w:space="0" w:color="auto"/>
              <w:left w:val="single" w:sz="4" w:space="0" w:color="CCFFFF"/>
              <w:bottom w:val="dotted" w:sz="4" w:space="0" w:color="auto"/>
              <w:right w:val="single" w:sz="4" w:space="0" w:color="auto"/>
            </w:tcBorders>
            <w:shd w:val="clear" w:color="auto" w:fill="CCFFFF"/>
            <w:noWrap/>
            <w:vAlign w:val="center"/>
            <w:hideMark/>
          </w:tcPr>
          <w:p w:rsidR="006D522F" w:rsidRDefault="006D522F">
            <w:pPr>
              <w:spacing w:after="0"/>
              <w:jc w:val="center"/>
            </w:pPr>
            <w:r>
              <w:t>Global Health and Social Medicine</w:t>
            </w:r>
          </w:p>
        </w:tc>
        <w:tc>
          <w:tcPr>
            <w:tcW w:w="0" w:type="auto"/>
            <w:vMerge/>
            <w:tcBorders>
              <w:top w:val="single" w:sz="4" w:space="0" w:color="CCFFFF"/>
              <w:left w:val="nil"/>
              <w:bottom w:val="single" w:sz="4" w:space="0" w:color="000000"/>
              <w:right w:val="single" w:sz="4" w:space="0" w:color="CCFFFF"/>
            </w:tcBorders>
            <w:vAlign w:val="center"/>
            <w:hideMark/>
          </w:tcPr>
          <w:p w:rsidR="006D522F" w:rsidRDefault="006D522F">
            <w:pPr>
              <w:spacing w:after="0" w:line="240" w:lineRule="auto"/>
            </w:pPr>
          </w:p>
        </w:tc>
        <w:tc>
          <w:tcPr>
            <w:tcW w:w="3071" w:type="dxa"/>
            <w:gridSpan w:val="2"/>
            <w:tcBorders>
              <w:top w:val="dotted" w:sz="4" w:space="0" w:color="auto"/>
              <w:left w:val="single" w:sz="4" w:space="0" w:color="CCFFFF"/>
              <w:bottom w:val="dotted" w:sz="4" w:space="0" w:color="auto"/>
              <w:right w:val="single" w:sz="4" w:space="0" w:color="auto"/>
            </w:tcBorders>
            <w:shd w:val="clear" w:color="auto" w:fill="CCFFFF"/>
            <w:vAlign w:val="center"/>
            <w:hideMark/>
          </w:tcPr>
          <w:p w:rsidR="006D522F" w:rsidRDefault="006D522F">
            <w:pPr>
              <w:spacing w:after="0"/>
              <w:jc w:val="center"/>
            </w:pPr>
            <w:r>
              <w:t>Social and Preventive Medicine</w:t>
            </w:r>
          </w:p>
        </w:tc>
      </w:tr>
      <w:tr w:rsidR="006D522F" w:rsidTr="006D522F">
        <w:trPr>
          <w:trHeight w:val="525"/>
          <w:jc w:val="center"/>
        </w:trPr>
        <w:tc>
          <w:tcPr>
            <w:tcW w:w="0" w:type="auto"/>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pPr>
          </w:p>
        </w:tc>
        <w:tc>
          <w:tcPr>
            <w:tcW w:w="0" w:type="auto"/>
            <w:vMerge/>
            <w:tcBorders>
              <w:top w:val="nil"/>
              <w:left w:val="nil"/>
              <w:bottom w:val="single" w:sz="4" w:space="0" w:color="000000"/>
              <w:right w:val="single" w:sz="4" w:space="0" w:color="CCFFFF"/>
            </w:tcBorders>
            <w:vAlign w:val="center"/>
            <w:hideMark/>
          </w:tcPr>
          <w:p w:rsidR="006D522F" w:rsidRDefault="006D522F">
            <w:pPr>
              <w:spacing w:after="0" w:line="240" w:lineRule="auto"/>
            </w:pPr>
          </w:p>
        </w:tc>
        <w:tc>
          <w:tcPr>
            <w:tcW w:w="2960" w:type="dxa"/>
            <w:tcBorders>
              <w:top w:val="dotted" w:sz="4" w:space="0" w:color="auto"/>
              <w:left w:val="single" w:sz="4" w:space="0" w:color="CCFFFF"/>
              <w:bottom w:val="single" w:sz="4" w:space="0" w:color="auto"/>
              <w:right w:val="single" w:sz="4" w:space="0" w:color="auto"/>
            </w:tcBorders>
            <w:shd w:val="clear" w:color="auto" w:fill="CCFFFF"/>
            <w:noWrap/>
            <w:vAlign w:val="center"/>
            <w:hideMark/>
          </w:tcPr>
          <w:p w:rsidR="006D522F" w:rsidRDefault="006D522F">
            <w:pPr>
              <w:spacing w:after="0"/>
              <w:jc w:val="center"/>
            </w:pPr>
            <w:r>
              <w:t>Personal and Professional Development</w:t>
            </w:r>
          </w:p>
        </w:tc>
        <w:tc>
          <w:tcPr>
            <w:tcW w:w="0" w:type="auto"/>
            <w:vMerge/>
            <w:tcBorders>
              <w:top w:val="single" w:sz="4" w:space="0" w:color="CCFFFF"/>
              <w:left w:val="nil"/>
              <w:bottom w:val="single" w:sz="4" w:space="0" w:color="000000"/>
              <w:right w:val="single" w:sz="4" w:space="0" w:color="CCFFFF"/>
            </w:tcBorders>
            <w:vAlign w:val="center"/>
            <w:hideMark/>
          </w:tcPr>
          <w:p w:rsidR="006D522F" w:rsidRDefault="006D522F">
            <w:pPr>
              <w:spacing w:after="0" w:line="240" w:lineRule="auto"/>
            </w:pPr>
          </w:p>
        </w:tc>
        <w:tc>
          <w:tcPr>
            <w:tcW w:w="3071" w:type="dxa"/>
            <w:gridSpan w:val="2"/>
            <w:tcBorders>
              <w:top w:val="dotted" w:sz="4" w:space="0" w:color="auto"/>
              <w:left w:val="single" w:sz="4" w:space="0" w:color="CCFFFF"/>
              <w:bottom w:val="single" w:sz="4" w:space="0" w:color="auto"/>
              <w:right w:val="single" w:sz="4" w:space="0" w:color="auto"/>
            </w:tcBorders>
            <w:shd w:val="clear" w:color="auto" w:fill="CCFFFF"/>
            <w:vAlign w:val="center"/>
            <w:hideMark/>
          </w:tcPr>
          <w:p w:rsidR="006D522F" w:rsidRDefault="006D522F">
            <w:pPr>
              <w:spacing w:after="0"/>
              <w:jc w:val="center"/>
            </w:pPr>
            <w:r>
              <w:t>Personal and Professional Development</w:t>
            </w:r>
          </w:p>
        </w:tc>
      </w:tr>
    </w:tbl>
    <w:p w:rsidR="006D522F" w:rsidRDefault="006D522F" w:rsidP="006D522F">
      <w:pPr>
        <w:spacing w:after="0"/>
        <w:jc w:val="center"/>
        <w:rPr>
          <w:i/>
          <w:iCs/>
          <w:sz w:val="24"/>
          <w:szCs w:val="24"/>
        </w:rPr>
      </w:pPr>
      <w:r>
        <w:rPr>
          <w:i/>
          <w:iCs/>
          <w:sz w:val="24"/>
          <w:szCs w:val="24"/>
        </w:rPr>
        <w:t xml:space="preserve">Figure 1: General Structure of the Curriculum in years 1 and 2.  </w:t>
      </w:r>
    </w:p>
    <w:p w:rsidR="006D522F" w:rsidRDefault="006D522F" w:rsidP="006D522F">
      <w:pPr>
        <w:spacing w:after="0"/>
        <w:jc w:val="center"/>
        <w:rPr>
          <w:i/>
          <w:iCs/>
          <w:sz w:val="24"/>
          <w:szCs w:val="24"/>
        </w:rPr>
      </w:pPr>
      <w:r>
        <w:rPr>
          <w:i/>
          <w:iCs/>
          <w:sz w:val="24"/>
          <w:szCs w:val="24"/>
        </w:rPr>
        <w:t>*: With full integration, the borders between threads disappear.</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In addition, throughout Years 1 and 2, students will also be engaged in courses and learning activities that will develop and mold their</w:t>
      </w:r>
    </w:p>
    <w:p w:rsidR="006D522F" w:rsidRDefault="006D522F" w:rsidP="006D522F">
      <w:pPr>
        <w:numPr>
          <w:ilvl w:val="0"/>
          <w:numId w:val="5"/>
        </w:numPr>
        <w:spacing w:after="0"/>
        <w:rPr>
          <w:sz w:val="24"/>
          <w:szCs w:val="24"/>
        </w:rPr>
      </w:pPr>
      <w:r>
        <w:rPr>
          <w:sz w:val="24"/>
          <w:szCs w:val="24"/>
        </w:rPr>
        <w:t xml:space="preserve">clinical and communication skills, </w:t>
      </w:r>
    </w:p>
    <w:p w:rsidR="006D522F" w:rsidRDefault="006D522F" w:rsidP="006D522F">
      <w:pPr>
        <w:numPr>
          <w:ilvl w:val="0"/>
          <w:numId w:val="5"/>
        </w:numPr>
        <w:spacing w:after="0"/>
        <w:rPr>
          <w:sz w:val="24"/>
          <w:szCs w:val="24"/>
        </w:rPr>
      </w:pPr>
      <w:r>
        <w:rPr>
          <w:sz w:val="24"/>
          <w:szCs w:val="24"/>
        </w:rPr>
        <w:t xml:space="preserve">ethical sensitivity, understanding and problem-solving, </w:t>
      </w:r>
    </w:p>
    <w:p w:rsidR="006D522F" w:rsidRDefault="006D522F" w:rsidP="006D522F">
      <w:pPr>
        <w:numPr>
          <w:ilvl w:val="0"/>
          <w:numId w:val="5"/>
        </w:numPr>
        <w:spacing w:after="0"/>
        <w:rPr>
          <w:sz w:val="24"/>
          <w:szCs w:val="24"/>
        </w:rPr>
      </w:pPr>
      <w:r>
        <w:rPr>
          <w:sz w:val="24"/>
          <w:szCs w:val="24"/>
        </w:rPr>
        <w:t xml:space="preserve">appreciation of the social context of illness and healthcare, and </w:t>
      </w:r>
    </w:p>
    <w:p w:rsidR="006D522F" w:rsidRDefault="006D522F" w:rsidP="006D522F">
      <w:pPr>
        <w:numPr>
          <w:ilvl w:val="0"/>
          <w:numId w:val="5"/>
        </w:numPr>
        <w:spacing w:after="0"/>
        <w:rPr>
          <w:sz w:val="24"/>
          <w:szCs w:val="24"/>
        </w:rPr>
      </w:pPr>
      <w:proofErr w:type="gramStart"/>
      <w:r>
        <w:rPr>
          <w:sz w:val="24"/>
          <w:szCs w:val="24"/>
        </w:rPr>
        <w:t>overall</w:t>
      </w:r>
      <w:proofErr w:type="gramEnd"/>
      <w:r>
        <w:rPr>
          <w:sz w:val="24"/>
          <w:szCs w:val="24"/>
        </w:rPr>
        <w:t xml:space="preserve"> professional formation, including abilities to self-reflect, self-assess, and self-improve.   </w:t>
      </w:r>
    </w:p>
    <w:p w:rsidR="006D522F" w:rsidRDefault="006D522F" w:rsidP="006D522F">
      <w:pPr>
        <w:spacing w:after="0"/>
        <w:ind w:left="2400"/>
        <w:rPr>
          <w:sz w:val="24"/>
          <w:szCs w:val="24"/>
        </w:rPr>
      </w:pPr>
    </w:p>
    <w:p w:rsidR="006D522F" w:rsidRDefault="006D522F" w:rsidP="006D522F">
      <w:pPr>
        <w:spacing w:after="0"/>
        <w:rPr>
          <w:sz w:val="24"/>
          <w:szCs w:val="24"/>
        </w:rPr>
      </w:pPr>
      <w:r>
        <w:rPr>
          <w:sz w:val="24"/>
          <w:szCs w:val="24"/>
        </w:rPr>
        <w:t xml:space="preserve">This is delivered through the thread entitled </w:t>
      </w:r>
      <w:proofErr w:type="gramStart"/>
      <w:r>
        <w:rPr>
          <w:sz w:val="24"/>
          <w:szCs w:val="24"/>
          <w:u w:val="single"/>
        </w:rPr>
        <w:t>Becoming</w:t>
      </w:r>
      <w:proofErr w:type="gramEnd"/>
      <w:r>
        <w:rPr>
          <w:sz w:val="24"/>
          <w:szCs w:val="24"/>
          <w:u w:val="single"/>
        </w:rPr>
        <w:t xml:space="preserve"> a Doctor, </w:t>
      </w:r>
      <w:r>
        <w:rPr>
          <w:sz w:val="24"/>
          <w:szCs w:val="24"/>
        </w:rPr>
        <w:t xml:space="preserve">which has 4 component courses corresponding to the other threads and pillars of medical education: </w:t>
      </w:r>
    </w:p>
    <w:p w:rsidR="006D522F" w:rsidRDefault="006D522F" w:rsidP="006D522F">
      <w:pPr>
        <w:spacing w:after="0"/>
        <w:rPr>
          <w:sz w:val="24"/>
          <w:szCs w:val="24"/>
        </w:rPr>
      </w:pPr>
    </w:p>
    <w:p w:rsidR="006D522F" w:rsidRDefault="006D522F" w:rsidP="006D522F">
      <w:pPr>
        <w:numPr>
          <w:ilvl w:val="0"/>
          <w:numId w:val="6"/>
        </w:numPr>
        <w:spacing w:after="0"/>
        <w:rPr>
          <w:sz w:val="24"/>
          <w:szCs w:val="24"/>
        </w:rPr>
      </w:pPr>
      <w:r>
        <w:rPr>
          <w:sz w:val="24"/>
          <w:szCs w:val="24"/>
        </w:rPr>
        <w:t>A clinical and communication skills component (the Art of Medicine)</w:t>
      </w:r>
    </w:p>
    <w:p w:rsidR="006D522F" w:rsidRDefault="006D522F" w:rsidP="006D522F">
      <w:pPr>
        <w:numPr>
          <w:ilvl w:val="0"/>
          <w:numId w:val="6"/>
        </w:numPr>
        <w:spacing w:after="0"/>
        <w:rPr>
          <w:sz w:val="24"/>
          <w:szCs w:val="24"/>
        </w:rPr>
      </w:pPr>
      <w:r>
        <w:rPr>
          <w:sz w:val="24"/>
          <w:szCs w:val="24"/>
        </w:rPr>
        <w:t>A social and preventive medicine component (the Socio-cultural and Moral Context)</w:t>
      </w:r>
    </w:p>
    <w:p w:rsidR="006D522F" w:rsidRDefault="006D522F" w:rsidP="006D522F">
      <w:pPr>
        <w:numPr>
          <w:ilvl w:val="0"/>
          <w:numId w:val="6"/>
        </w:numPr>
        <w:spacing w:after="0"/>
        <w:rPr>
          <w:sz w:val="24"/>
          <w:szCs w:val="24"/>
        </w:rPr>
      </w:pPr>
      <w:r>
        <w:rPr>
          <w:sz w:val="24"/>
          <w:szCs w:val="24"/>
        </w:rPr>
        <w:t>A medical ethics, professionalism and humanities component. (Moral Context of Medicine)</w:t>
      </w:r>
    </w:p>
    <w:p w:rsidR="006D522F" w:rsidRDefault="006D522F" w:rsidP="006D522F">
      <w:pPr>
        <w:numPr>
          <w:ilvl w:val="0"/>
          <w:numId w:val="6"/>
        </w:numPr>
        <w:spacing w:after="0"/>
        <w:rPr>
          <w:sz w:val="24"/>
          <w:szCs w:val="24"/>
        </w:rPr>
      </w:pPr>
      <w:r>
        <w:rPr>
          <w:sz w:val="24"/>
          <w:szCs w:val="24"/>
        </w:rPr>
        <w:t>A professional and personal development component (the Professional Formation of the Individual Physician)</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This course is also intimately integrated with the organ systems being studied in Block 2 of Year 1 and in Year 2, such that each organ system module will highlight at least one important principle in these domains, using real examples.</w:t>
      </w:r>
    </w:p>
    <w:p w:rsidR="006D522F" w:rsidRDefault="006D522F" w:rsidP="006D522F">
      <w:pPr>
        <w:spacing w:after="0" w:line="240" w:lineRule="auto"/>
        <w:ind w:left="1080"/>
        <w:rPr>
          <w:rFonts w:cs="Times New Roman"/>
          <w:b/>
          <w:bCs/>
          <w:sz w:val="24"/>
          <w:szCs w:val="24"/>
          <w:u w:val="single"/>
        </w:rPr>
      </w:pPr>
    </w:p>
    <w:p w:rsidR="006D522F" w:rsidRDefault="006D522F" w:rsidP="006D522F">
      <w:pPr>
        <w:spacing w:after="0"/>
        <w:rPr>
          <w:sz w:val="24"/>
          <w:szCs w:val="24"/>
        </w:rPr>
      </w:pPr>
      <w:r>
        <w:rPr>
          <w:b/>
          <w:bCs/>
          <w:sz w:val="24"/>
          <w:szCs w:val="24"/>
          <w:u w:val="single"/>
        </w:rPr>
        <w:t xml:space="preserve">Daily Schedule and Contact Hours:  </w:t>
      </w:r>
      <w:r>
        <w:rPr>
          <w:sz w:val="24"/>
          <w:szCs w:val="24"/>
        </w:rPr>
        <w:t xml:space="preserve">Students spend, on average, not more than 24 hours a week in contact with an instructor in all the forms of teaching/learning that are used, with some variation in load among different sections of the year.  In general there is a balance between didactic lecturing and active student-centered learning exercises such as problem based learning (PBL), team based learning (TBL), laboratory exercises and case discussions.  Ample time is left for independent self-directed learning and for preparation for the small group sessions.  A representative week is depicted in figure 2.  </w:t>
      </w:r>
    </w:p>
    <w:p w:rsidR="006D522F" w:rsidRDefault="006D522F" w:rsidP="006D522F">
      <w:pPr>
        <w:spacing w:after="0"/>
        <w:rPr>
          <w:sz w:val="24"/>
          <w:szCs w:val="24"/>
        </w:rPr>
      </w:pPr>
    </w:p>
    <w:tbl>
      <w:tblPr>
        <w:tblW w:w="8373" w:type="dxa"/>
        <w:jc w:val="center"/>
        <w:tblInd w:w="93" w:type="dxa"/>
        <w:tblLook w:val="04A0" w:firstRow="1" w:lastRow="0" w:firstColumn="1" w:lastColumn="0" w:noHBand="0" w:noVBand="1"/>
      </w:tblPr>
      <w:tblGrid>
        <w:gridCol w:w="868"/>
        <w:gridCol w:w="1501"/>
        <w:gridCol w:w="1501"/>
        <w:gridCol w:w="1510"/>
        <w:gridCol w:w="1501"/>
        <w:gridCol w:w="1501"/>
      </w:tblGrid>
      <w:tr w:rsidR="006D522F" w:rsidTr="006D522F">
        <w:trPr>
          <w:trHeight w:val="174"/>
          <w:jc w:val="center"/>
        </w:trPr>
        <w:tc>
          <w:tcPr>
            <w:tcW w:w="868"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6D522F" w:rsidRDefault="006D522F">
            <w:pPr>
              <w:spacing w:after="0"/>
              <w:jc w:val="center"/>
              <w:rPr>
                <w:sz w:val="24"/>
                <w:szCs w:val="24"/>
              </w:rPr>
            </w:pPr>
          </w:p>
        </w:tc>
        <w:tc>
          <w:tcPr>
            <w:tcW w:w="1501" w:type="dxa"/>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sz w:val="24"/>
                <w:szCs w:val="24"/>
              </w:rPr>
            </w:pPr>
            <w:r>
              <w:rPr>
                <w:b/>
                <w:bCs/>
                <w:sz w:val="24"/>
                <w:szCs w:val="24"/>
              </w:rPr>
              <w:t>Monday</w:t>
            </w:r>
          </w:p>
        </w:tc>
        <w:tc>
          <w:tcPr>
            <w:tcW w:w="1501" w:type="dxa"/>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sz w:val="24"/>
                <w:szCs w:val="24"/>
              </w:rPr>
            </w:pPr>
            <w:r>
              <w:rPr>
                <w:b/>
                <w:bCs/>
                <w:sz w:val="24"/>
                <w:szCs w:val="24"/>
              </w:rPr>
              <w:t>Tuesday</w:t>
            </w:r>
          </w:p>
        </w:tc>
        <w:tc>
          <w:tcPr>
            <w:tcW w:w="1501" w:type="dxa"/>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sz w:val="24"/>
                <w:szCs w:val="24"/>
              </w:rPr>
            </w:pPr>
            <w:r>
              <w:rPr>
                <w:b/>
                <w:bCs/>
                <w:sz w:val="24"/>
                <w:szCs w:val="24"/>
              </w:rPr>
              <w:t>Wednesday</w:t>
            </w:r>
          </w:p>
        </w:tc>
        <w:tc>
          <w:tcPr>
            <w:tcW w:w="1501" w:type="dxa"/>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sz w:val="24"/>
                <w:szCs w:val="24"/>
              </w:rPr>
            </w:pPr>
            <w:r>
              <w:rPr>
                <w:b/>
                <w:bCs/>
                <w:sz w:val="24"/>
                <w:szCs w:val="24"/>
              </w:rPr>
              <w:t>Thursday</w:t>
            </w:r>
          </w:p>
        </w:tc>
        <w:tc>
          <w:tcPr>
            <w:tcW w:w="1501" w:type="dxa"/>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sz w:val="24"/>
                <w:szCs w:val="24"/>
              </w:rPr>
            </w:pPr>
            <w:r>
              <w:rPr>
                <w:b/>
                <w:bCs/>
                <w:sz w:val="24"/>
                <w:szCs w:val="24"/>
              </w:rPr>
              <w:t>Friday</w:t>
            </w:r>
          </w:p>
        </w:tc>
      </w:tr>
      <w:tr w:rsidR="006D522F" w:rsidTr="006D522F">
        <w:trPr>
          <w:trHeight w:val="309"/>
          <w:jc w:val="center"/>
        </w:trPr>
        <w:tc>
          <w:tcPr>
            <w:tcW w:w="868" w:type="dxa"/>
            <w:tcBorders>
              <w:top w:val="nil"/>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8:00</w:t>
            </w:r>
          </w:p>
        </w:tc>
        <w:tc>
          <w:tcPr>
            <w:tcW w:w="1501" w:type="dxa"/>
            <w:tcBorders>
              <w:top w:val="nil"/>
              <w:left w:val="nil"/>
              <w:bottom w:val="single" w:sz="4" w:space="0" w:color="auto"/>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c>
          <w:tcPr>
            <w:tcW w:w="1501" w:type="dxa"/>
            <w:tcBorders>
              <w:top w:val="nil"/>
              <w:left w:val="nil"/>
              <w:bottom w:val="single" w:sz="4" w:space="0" w:color="auto"/>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c>
          <w:tcPr>
            <w:tcW w:w="150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6D522F" w:rsidRDefault="006D522F">
            <w:pPr>
              <w:spacing w:after="0"/>
              <w:jc w:val="center"/>
              <w:rPr>
                <w:sz w:val="24"/>
                <w:szCs w:val="24"/>
              </w:rPr>
            </w:pPr>
            <w:r>
              <w:rPr>
                <w:sz w:val="24"/>
                <w:szCs w:val="24"/>
              </w:rPr>
              <w:t>Lecture</w:t>
            </w:r>
          </w:p>
        </w:tc>
        <w:tc>
          <w:tcPr>
            <w:tcW w:w="1501" w:type="dxa"/>
            <w:tcBorders>
              <w:top w:val="nil"/>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c>
          <w:tcPr>
            <w:tcW w:w="1501" w:type="dxa"/>
            <w:tcBorders>
              <w:top w:val="nil"/>
              <w:left w:val="nil"/>
              <w:bottom w:val="single" w:sz="4" w:space="0" w:color="auto"/>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r>
      <w:tr w:rsidR="006D522F" w:rsidTr="006D522F">
        <w:trPr>
          <w:trHeight w:val="318"/>
          <w:jc w:val="center"/>
        </w:trPr>
        <w:tc>
          <w:tcPr>
            <w:tcW w:w="868" w:type="dxa"/>
            <w:tcBorders>
              <w:top w:val="nil"/>
              <w:left w:val="single" w:sz="4" w:space="0" w:color="auto"/>
              <w:bottom w:val="single" w:sz="4" w:space="0" w:color="000000"/>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9:00</w:t>
            </w:r>
          </w:p>
        </w:tc>
        <w:tc>
          <w:tcPr>
            <w:tcW w:w="1501" w:type="dxa"/>
            <w:tcBorders>
              <w:top w:val="nil"/>
              <w:left w:val="nil"/>
              <w:bottom w:val="single" w:sz="4" w:space="0" w:color="000000"/>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c>
          <w:tcPr>
            <w:tcW w:w="1501" w:type="dxa"/>
            <w:tcBorders>
              <w:top w:val="nil"/>
              <w:left w:val="nil"/>
              <w:bottom w:val="single" w:sz="4" w:space="0" w:color="000000"/>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c>
          <w:tcPr>
            <w:tcW w:w="1501"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6D522F" w:rsidRDefault="006D522F">
            <w:pPr>
              <w:spacing w:after="0"/>
              <w:jc w:val="center"/>
              <w:rPr>
                <w:sz w:val="24"/>
                <w:szCs w:val="24"/>
              </w:rPr>
            </w:pPr>
            <w:r>
              <w:rPr>
                <w:sz w:val="24"/>
                <w:szCs w:val="24"/>
              </w:rPr>
              <w:t>Lecture</w:t>
            </w:r>
          </w:p>
        </w:tc>
        <w:tc>
          <w:tcPr>
            <w:tcW w:w="1501" w:type="dxa"/>
            <w:tcBorders>
              <w:top w:val="nil"/>
              <w:left w:val="single" w:sz="4" w:space="0" w:color="auto"/>
              <w:bottom w:val="single" w:sz="4" w:space="0" w:color="000000"/>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c>
          <w:tcPr>
            <w:tcW w:w="1501" w:type="dxa"/>
            <w:tcBorders>
              <w:top w:val="nil"/>
              <w:left w:val="nil"/>
              <w:bottom w:val="single" w:sz="4" w:space="0" w:color="000000"/>
              <w:right w:val="single" w:sz="4" w:space="0" w:color="auto"/>
            </w:tcBorders>
            <w:shd w:val="clear" w:color="auto" w:fill="CCFFCC"/>
            <w:noWrap/>
            <w:vAlign w:val="center"/>
            <w:hideMark/>
          </w:tcPr>
          <w:p w:rsidR="006D522F" w:rsidRDefault="006D522F">
            <w:pPr>
              <w:spacing w:after="0"/>
              <w:jc w:val="center"/>
              <w:rPr>
                <w:sz w:val="24"/>
                <w:szCs w:val="24"/>
              </w:rPr>
            </w:pPr>
            <w:r>
              <w:rPr>
                <w:sz w:val="24"/>
                <w:szCs w:val="24"/>
              </w:rPr>
              <w:t>Lecture</w:t>
            </w:r>
          </w:p>
        </w:tc>
      </w:tr>
      <w:tr w:rsidR="006D522F" w:rsidTr="006D522F">
        <w:trPr>
          <w:trHeight w:val="318"/>
          <w:jc w:val="center"/>
        </w:trPr>
        <w:tc>
          <w:tcPr>
            <w:tcW w:w="868" w:type="dxa"/>
            <w:tcBorders>
              <w:top w:val="single" w:sz="4" w:space="0" w:color="000000"/>
              <w:left w:val="single" w:sz="4" w:space="0" w:color="000000"/>
              <w:bottom w:val="single" w:sz="4" w:space="0" w:color="000000"/>
              <w:right w:val="single" w:sz="4" w:space="0" w:color="000000"/>
            </w:tcBorders>
            <w:shd w:val="clear" w:color="auto" w:fill="FFFF00"/>
            <w:noWrap/>
            <w:vAlign w:val="center"/>
            <w:hideMark/>
          </w:tcPr>
          <w:p w:rsidR="006D522F" w:rsidRDefault="006D522F">
            <w:pPr>
              <w:spacing w:after="0"/>
              <w:rPr>
                <w:b/>
                <w:bCs/>
                <w:sz w:val="24"/>
                <w:szCs w:val="24"/>
              </w:rPr>
            </w:pPr>
            <w:r>
              <w:rPr>
                <w:b/>
                <w:bCs/>
                <w:sz w:val="24"/>
                <w:szCs w:val="24"/>
              </w:rPr>
              <w:t>10:00</w:t>
            </w:r>
          </w:p>
        </w:tc>
        <w:tc>
          <w:tcPr>
            <w:tcW w:w="7505"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6D522F" w:rsidRDefault="006D522F">
            <w:pPr>
              <w:spacing w:after="0"/>
              <w:jc w:val="center"/>
              <w:rPr>
                <w:sz w:val="24"/>
                <w:szCs w:val="24"/>
              </w:rPr>
            </w:pPr>
          </w:p>
        </w:tc>
      </w:tr>
      <w:tr w:rsidR="006D522F" w:rsidTr="006D522F">
        <w:trPr>
          <w:trHeight w:val="318"/>
          <w:jc w:val="center"/>
        </w:trPr>
        <w:tc>
          <w:tcPr>
            <w:tcW w:w="868" w:type="dxa"/>
            <w:tcBorders>
              <w:top w:val="single" w:sz="4" w:space="0" w:color="000000"/>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10:30</w:t>
            </w:r>
          </w:p>
        </w:tc>
        <w:tc>
          <w:tcPr>
            <w:tcW w:w="1501" w:type="dxa"/>
            <w:vMerge w:val="restart"/>
            <w:tcBorders>
              <w:top w:val="single" w:sz="4" w:space="0" w:color="000000"/>
              <w:left w:val="single" w:sz="4" w:space="0" w:color="auto"/>
              <w:bottom w:val="single" w:sz="4" w:space="0" w:color="auto"/>
              <w:right w:val="single" w:sz="4" w:space="0" w:color="auto"/>
            </w:tcBorders>
            <w:shd w:val="clear" w:color="auto" w:fill="CCFFFF"/>
            <w:vAlign w:val="center"/>
            <w:hideMark/>
          </w:tcPr>
          <w:p w:rsidR="006D522F" w:rsidRDefault="006D522F">
            <w:pPr>
              <w:spacing w:after="0"/>
              <w:jc w:val="center"/>
              <w:rPr>
                <w:sz w:val="24"/>
                <w:szCs w:val="24"/>
              </w:rPr>
            </w:pPr>
            <w:r>
              <w:rPr>
                <w:sz w:val="24"/>
                <w:szCs w:val="24"/>
              </w:rPr>
              <w:t xml:space="preserve">Small Group </w:t>
            </w:r>
            <w:r>
              <w:rPr>
                <w:sz w:val="24"/>
                <w:szCs w:val="24"/>
              </w:rPr>
              <w:br/>
              <w:t>Case based</w:t>
            </w:r>
          </w:p>
          <w:p w:rsidR="006D522F" w:rsidRDefault="006D522F">
            <w:pPr>
              <w:spacing w:after="0"/>
              <w:jc w:val="center"/>
              <w:rPr>
                <w:sz w:val="24"/>
                <w:szCs w:val="24"/>
              </w:rPr>
            </w:pPr>
            <w:r>
              <w:rPr>
                <w:sz w:val="24"/>
                <w:szCs w:val="24"/>
              </w:rPr>
              <w:t>Or Lab</w:t>
            </w:r>
          </w:p>
          <w:p w:rsidR="006D522F" w:rsidRDefault="006D522F">
            <w:pPr>
              <w:spacing w:after="0"/>
              <w:jc w:val="center"/>
              <w:rPr>
                <w:sz w:val="24"/>
                <w:szCs w:val="24"/>
              </w:rPr>
            </w:pPr>
            <w:r>
              <w:rPr>
                <w:sz w:val="24"/>
                <w:szCs w:val="24"/>
              </w:rPr>
              <w:t>Lunch</w:t>
            </w:r>
          </w:p>
        </w:tc>
        <w:tc>
          <w:tcPr>
            <w:tcW w:w="1501" w:type="dxa"/>
            <w:vMerge w:val="restart"/>
            <w:tcBorders>
              <w:top w:val="single" w:sz="4" w:space="0" w:color="000000"/>
              <w:left w:val="single" w:sz="4" w:space="0" w:color="auto"/>
              <w:bottom w:val="single" w:sz="4" w:space="0" w:color="auto"/>
              <w:right w:val="single" w:sz="4" w:space="0" w:color="auto"/>
            </w:tcBorders>
            <w:shd w:val="clear" w:color="auto" w:fill="FFCCFF"/>
            <w:vAlign w:val="center"/>
            <w:hideMark/>
          </w:tcPr>
          <w:p w:rsidR="006D522F" w:rsidRDefault="006D522F">
            <w:pPr>
              <w:spacing w:after="0"/>
              <w:jc w:val="center"/>
              <w:rPr>
                <w:sz w:val="24"/>
                <w:szCs w:val="24"/>
              </w:rPr>
            </w:pPr>
            <w:r>
              <w:rPr>
                <w:sz w:val="24"/>
                <w:szCs w:val="24"/>
              </w:rPr>
              <w:t>Ethics Humanities Social Medicine</w:t>
            </w:r>
          </w:p>
        </w:tc>
        <w:tc>
          <w:tcPr>
            <w:tcW w:w="1501" w:type="dxa"/>
            <w:vMerge w:val="restart"/>
            <w:tcBorders>
              <w:top w:val="single" w:sz="4" w:space="0" w:color="000000"/>
              <w:left w:val="single" w:sz="4" w:space="0" w:color="auto"/>
              <w:bottom w:val="single" w:sz="4" w:space="0" w:color="auto"/>
              <w:right w:val="single" w:sz="4" w:space="0" w:color="auto"/>
            </w:tcBorders>
            <w:shd w:val="clear" w:color="auto" w:fill="CCFFFF"/>
            <w:vAlign w:val="center"/>
            <w:hideMark/>
          </w:tcPr>
          <w:p w:rsidR="006D522F" w:rsidRDefault="006D522F">
            <w:pPr>
              <w:spacing w:after="0"/>
              <w:jc w:val="center"/>
              <w:rPr>
                <w:sz w:val="24"/>
                <w:szCs w:val="24"/>
              </w:rPr>
            </w:pPr>
            <w:r>
              <w:rPr>
                <w:sz w:val="24"/>
                <w:szCs w:val="24"/>
              </w:rPr>
              <w:t xml:space="preserve">Small Group </w:t>
            </w:r>
            <w:r>
              <w:rPr>
                <w:sz w:val="24"/>
                <w:szCs w:val="24"/>
              </w:rPr>
              <w:br/>
              <w:t>Case based</w:t>
            </w:r>
          </w:p>
          <w:p w:rsidR="006D522F" w:rsidRDefault="006D522F">
            <w:pPr>
              <w:spacing w:after="0"/>
              <w:jc w:val="center"/>
              <w:rPr>
                <w:sz w:val="24"/>
                <w:szCs w:val="24"/>
              </w:rPr>
            </w:pPr>
            <w:r>
              <w:rPr>
                <w:sz w:val="24"/>
                <w:szCs w:val="24"/>
              </w:rPr>
              <w:t>Or Lab</w:t>
            </w:r>
          </w:p>
        </w:tc>
        <w:tc>
          <w:tcPr>
            <w:tcW w:w="1501" w:type="dxa"/>
            <w:vMerge w:val="restart"/>
            <w:tcBorders>
              <w:top w:val="single" w:sz="4" w:space="0" w:color="000000"/>
              <w:left w:val="single" w:sz="4" w:space="0" w:color="auto"/>
              <w:bottom w:val="single" w:sz="4" w:space="0" w:color="auto"/>
              <w:right w:val="single" w:sz="4" w:space="0" w:color="auto"/>
            </w:tcBorders>
            <w:shd w:val="clear" w:color="auto" w:fill="CCFFFF"/>
            <w:vAlign w:val="center"/>
            <w:hideMark/>
          </w:tcPr>
          <w:p w:rsidR="006D522F" w:rsidRDefault="006D522F">
            <w:pPr>
              <w:spacing w:after="0"/>
              <w:jc w:val="center"/>
              <w:rPr>
                <w:sz w:val="24"/>
                <w:szCs w:val="24"/>
              </w:rPr>
            </w:pPr>
            <w:r>
              <w:rPr>
                <w:sz w:val="24"/>
                <w:szCs w:val="24"/>
              </w:rPr>
              <w:t xml:space="preserve">Small Group </w:t>
            </w:r>
            <w:r>
              <w:rPr>
                <w:sz w:val="24"/>
                <w:szCs w:val="24"/>
              </w:rPr>
              <w:br/>
              <w:t>Case based</w:t>
            </w:r>
          </w:p>
        </w:tc>
        <w:tc>
          <w:tcPr>
            <w:tcW w:w="1501" w:type="dxa"/>
            <w:vMerge w:val="restart"/>
            <w:tcBorders>
              <w:top w:val="single" w:sz="4" w:space="0" w:color="000000"/>
              <w:left w:val="single" w:sz="4" w:space="0" w:color="auto"/>
              <w:bottom w:val="single" w:sz="4" w:space="0" w:color="auto"/>
              <w:right w:val="single" w:sz="4" w:space="0" w:color="auto"/>
            </w:tcBorders>
            <w:shd w:val="clear" w:color="auto" w:fill="CCFFFF"/>
            <w:vAlign w:val="center"/>
            <w:hideMark/>
          </w:tcPr>
          <w:p w:rsidR="006D522F" w:rsidRDefault="006D522F">
            <w:pPr>
              <w:spacing w:after="0"/>
              <w:jc w:val="center"/>
              <w:rPr>
                <w:sz w:val="24"/>
                <w:szCs w:val="24"/>
              </w:rPr>
            </w:pPr>
            <w:r>
              <w:rPr>
                <w:sz w:val="24"/>
                <w:szCs w:val="24"/>
              </w:rPr>
              <w:t xml:space="preserve">Small Group </w:t>
            </w:r>
            <w:r>
              <w:rPr>
                <w:sz w:val="24"/>
                <w:szCs w:val="24"/>
              </w:rPr>
              <w:br/>
              <w:t>Case based</w:t>
            </w:r>
          </w:p>
          <w:p w:rsidR="006D522F" w:rsidRDefault="006D522F">
            <w:pPr>
              <w:spacing w:after="0"/>
              <w:jc w:val="center"/>
              <w:rPr>
                <w:sz w:val="24"/>
                <w:szCs w:val="24"/>
              </w:rPr>
            </w:pPr>
            <w:r>
              <w:rPr>
                <w:sz w:val="24"/>
                <w:szCs w:val="24"/>
              </w:rPr>
              <w:t>Or Lab</w:t>
            </w:r>
          </w:p>
          <w:p w:rsidR="006D522F" w:rsidRDefault="006D522F">
            <w:pPr>
              <w:spacing w:after="0"/>
              <w:jc w:val="center"/>
              <w:rPr>
                <w:sz w:val="24"/>
                <w:szCs w:val="24"/>
              </w:rPr>
            </w:pPr>
            <w:r>
              <w:rPr>
                <w:sz w:val="24"/>
                <w:szCs w:val="24"/>
              </w:rPr>
              <w:t>Lunch</w:t>
            </w:r>
          </w:p>
        </w:tc>
      </w:tr>
      <w:tr w:rsidR="006D522F" w:rsidTr="006D522F">
        <w:trPr>
          <w:trHeight w:val="318"/>
          <w:jc w:val="center"/>
        </w:trPr>
        <w:tc>
          <w:tcPr>
            <w:tcW w:w="868" w:type="dxa"/>
            <w:tcBorders>
              <w:top w:val="nil"/>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11:30</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r>
      <w:tr w:rsidR="006D522F" w:rsidTr="006D522F">
        <w:trPr>
          <w:trHeight w:val="318"/>
          <w:jc w:val="center"/>
        </w:trPr>
        <w:tc>
          <w:tcPr>
            <w:tcW w:w="868" w:type="dxa"/>
            <w:tcBorders>
              <w:top w:val="nil"/>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12:30</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single" w:sz="4" w:space="0" w:color="auto"/>
              <w:left w:val="nil"/>
              <w:bottom w:val="single" w:sz="4" w:space="0" w:color="auto"/>
              <w:right w:val="single" w:sz="4" w:space="0" w:color="auto"/>
            </w:tcBorders>
            <w:shd w:val="clear" w:color="auto" w:fill="E7E6E6" w:themeFill="background2"/>
            <w:noWrap/>
            <w:vAlign w:val="center"/>
            <w:hideMark/>
          </w:tcPr>
          <w:p w:rsidR="006D522F" w:rsidRDefault="006D522F">
            <w:pPr>
              <w:spacing w:after="0"/>
              <w:jc w:val="center"/>
              <w:rPr>
                <w:sz w:val="24"/>
                <w:szCs w:val="24"/>
              </w:rPr>
            </w:pPr>
            <w:r>
              <w:rPr>
                <w:sz w:val="24"/>
                <w:szCs w:val="24"/>
              </w:rPr>
              <w:t>Lunch</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single" w:sz="4" w:space="0" w:color="auto"/>
              <w:left w:val="nil"/>
              <w:bottom w:val="single" w:sz="4" w:space="0" w:color="auto"/>
              <w:right w:val="single" w:sz="4" w:space="0" w:color="auto"/>
            </w:tcBorders>
            <w:shd w:val="clear" w:color="auto" w:fill="E7E6E6" w:themeFill="background2"/>
            <w:noWrap/>
            <w:vAlign w:val="center"/>
            <w:hideMark/>
          </w:tcPr>
          <w:p w:rsidR="006D522F" w:rsidRDefault="006D522F">
            <w:pPr>
              <w:spacing w:after="0"/>
              <w:jc w:val="center"/>
              <w:rPr>
                <w:sz w:val="24"/>
                <w:szCs w:val="24"/>
              </w:rPr>
            </w:pPr>
            <w:r>
              <w:rPr>
                <w:sz w:val="24"/>
                <w:szCs w:val="24"/>
              </w:rPr>
              <w:t>Lunch</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r>
      <w:tr w:rsidR="006D522F" w:rsidTr="006D522F">
        <w:trPr>
          <w:trHeight w:val="318"/>
          <w:jc w:val="center"/>
        </w:trPr>
        <w:tc>
          <w:tcPr>
            <w:tcW w:w="868"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13:00</w:t>
            </w:r>
          </w:p>
        </w:tc>
        <w:tc>
          <w:tcPr>
            <w:tcW w:w="1501" w:type="dxa"/>
            <w:tcBorders>
              <w:top w:val="single" w:sz="4" w:space="0" w:color="auto"/>
              <w:left w:val="nil"/>
              <w:bottom w:val="nil"/>
              <w:right w:val="nil"/>
            </w:tcBorders>
            <w:noWrap/>
            <w:vAlign w:val="center"/>
          </w:tcPr>
          <w:p w:rsidR="006D522F" w:rsidRDefault="006D522F">
            <w:pPr>
              <w:spacing w:after="0"/>
              <w:jc w:val="center"/>
              <w:rPr>
                <w:sz w:val="24"/>
                <w:szCs w:val="24"/>
              </w:rPr>
            </w:pPr>
          </w:p>
        </w:tc>
        <w:tc>
          <w:tcPr>
            <w:tcW w:w="1501" w:type="dxa"/>
            <w:vMerge w:val="restart"/>
            <w:tcBorders>
              <w:top w:val="single" w:sz="4" w:space="0" w:color="auto"/>
              <w:left w:val="single" w:sz="4" w:space="0" w:color="auto"/>
              <w:bottom w:val="single" w:sz="4" w:space="0" w:color="auto"/>
              <w:right w:val="single" w:sz="4" w:space="0" w:color="auto"/>
            </w:tcBorders>
            <w:shd w:val="clear" w:color="auto" w:fill="FFCCFF"/>
            <w:noWrap/>
            <w:vAlign w:val="center"/>
            <w:hideMark/>
          </w:tcPr>
          <w:p w:rsidR="006D522F" w:rsidRDefault="006D522F">
            <w:pPr>
              <w:spacing w:after="0"/>
              <w:jc w:val="center"/>
              <w:rPr>
                <w:sz w:val="24"/>
                <w:szCs w:val="24"/>
              </w:rPr>
            </w:pPr>
            <w:r>
              <w:rPr>
                <w:sz w:val="24"/>
                <w:szCs w:val="24"/>
              </w:rPr>
              <w:t>Clinical Skills</w:t>
            </w:r>
          </w:p>
          <w:p w:rsidR="006D522F" w:rsidRDefault="006D522F">
            <w:pPr>
              <w:spacing w:after="0"/>
              <w:jc w:val="center"/>
              <w:rPr>
                <w:sz w:val="24"/>
                <w:szCs w:val="24"/>
              </w:rPr>
            </w:pPr>
            <w:r>
              <w:rPr>
                <w:sz w:val="24"/>
                <w:szCs w:val="24"/>
              </w:rPr>
              <w:t>Section 1</w:t>
            </w:r>
          </w:p>
        </w:tc>
        <w:tc>
          <w:tcPr>
            <w:tcW w:w="1501" w:type="dxa"/>
            <w:tcBorders>
              <w:top w:val="single" w:sz="4" w:space="0" w:color="auto"/>
              <w:left w:val="nil"/>
              <w:bottom w:val="single" w:sz="4" w:space="0" w:color="000000"/>
              <w:right w:val="nil"/>
            </w:tcBorders>
            <w:shd w:val="clear" w:color="auto" w:fill="E7E6E6" w:themeFill="background2"/>
            <w:noWrap/>
            <w:vAlign w:val="center"/>
            <w:hideMark/>
          </w:tcPr>
          <w:p w:rsidR="006D522F" w:rsidRDefault="006D522F">
            <w:pPr>
              <w:spacing w:after="0"/>
              <w:jc w:val="center"/>
              <w:rPr>
                <w:sz w:val="24"/>
                <w:szCs w:val="24"/>
              </w:rPr>
            </w:pPr>
            <w:r>
              <w:rPr>
                <w:sz w:val="24"/>
                <w:szCs w:val="24"/>
              </w:rPr>
              <w:t>Lunch</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FFCCFF"/>
            <w:noWrap/>
            <w:vAlign w:val="center"/>
            <w:hideMark/>
          </w:tcPr>
          <w:p w:rsidR="006D522F" w:rsidRDefault="006D522F">
            <w:pPr>
              <w:spacing w:after="0"/>
              <w:jc w:val="center"/>
              <w:rPr>
                <w:sz w:val="24"/>
                <w:szCs w:val="24"/>
              </w:rPr>
            </w:pPr>
            <w:r>
              <w:rPr>
                <w:sz w:val="24"/>
                <w:szCs w:val="24"/>
              </w:rPr>
              <w:t>Clinical Skills</w:t>
            </w:r>
          </w:p>
          <w:p w:rsidR="006D522F" w:rsidRDefault="006D522F">
            <w:pPr>
              <w:spacing w:after="0"/>
              <w:jc w:val="center"/>
              <w:rPr>
                <w:sz w:val="24"/>
                <w:szCs w:val="24"/>
              </w:rPr>
            </w:pPr>
            <w:r>
              <w:rPr>
                <w:sz w:val="24"/>
                <w:szCs w:val="24"/>
              </w:rPr>
              <w:t>Section 2</w:t>
            </w:r>
          </w:p>
        </w:tc>
        <w:tc>
          <w:tcPr>
            <w:tcW w:w="1501" w:type="dxa"/>
            <w:tcBorders>
              <w:top w:val="single" w:sz="4" w:space="0" w:color="auto"/>
              <w:left w:val="nil"/>
              <w:bottom w:val="nil"/>
              <w:right w:val="single" w:sz="4" w:space="0" w:color="auto"/>
            </w:tcBorders>
            <w:noWrap/>
            <w:vAlign w:val="center"/>
          </w:tcPr>
          <w:p w:rsidR="006D522F" w:rsidRDefault="006D522F">
            <w:pPr>
              <w:spacing w:after="0"/>
              <w:jc w:val="center"/>
              <w:rPr>
                <w:sz w:val="24"/>
                <w:szCs w:val="24"/>
              </w:rPr>
            </w:pPr>
          </w:p>
        </w:tc>
      </w:tr>
      <w:tr w:rsidR="006D522F" w:rsidTr="006D522F">
        <w:trPr>
          <w:trHeight w:val="318"/>
          <w:jc w:val="center"/>
        </w:trPr>
        <w:tc>
          <w:tcPr>
            <w:tcW w:w="868" w:type="dxa"/>
            <w:tcBorders>
              <w:top w:val="nil"/>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14:00</w:t>
            </w:r>
          </w:p>
        </w:tc>
        <w:tc>
          <w:tcPr>
            <w:tcW w:w="1501" w:type="dxa"/>
            <w:noWrap/>
            <w:vAlign w:val="center"/>
          </w:tcPr>
          <w:p w:rsidR="006D522F" w:rsidRDefault="006D522F">
            <w:pPr>
              <w:spacing w:after="0"/>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single" w:sz="4" w:space="0" w:color="000000"/>
              <w:left w:val="single" w:sz="4" w:space="0" w:color="000000"/>
              <w:bottom w:val="single" w:sz="4" w:space="0" w:color="000000"/>
              <w:right w:val="single" w:sz="4" w:space="0" w:color="auto"/>
            </w:tcBorders>
            <w:shd w:val="clear" w:color="auto" w:fill="FFCCFF"/>
            <w:noWrap/>
            <w:vAlign w:val="center"/>
            <w:hideMark/>
          </w:tcPr>
          <w:p w:rsidR="006D522F" w:rsidRDefault="006D522F">
            <w:pPr>
              <w:spacing w:after="0"/>
              <w:jc w:val="center"/>
              <w:rPr>
                <w:sz w:val="24"/>
                <w:szCs w:val="24"/>
              </w:rPr>
            </w:pPr>
            <w:r>
              <w:rPr>
                <w:sz w:val="24"/>
                <w:szCs w:val="24"/>
              </w:rPr>
              <w:t>Learning Communities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nil"/>
              <w:left w:val="nil"/>
              <w:bottom w:val="nil"/>
              <w:right w:val="single" w:sz="4" w:space="0" w:color="auto"/>
            </w:tcBorders>
            <w:noWrap/>
            <w:vAlign w:val="center"/>
          </w:tcPr>
          <w:p w:rsidR="006D522F" w:rsidRDefault="006D522F">
            <w:pPr>
              <w:spacing w:after="0"/>
              <w:jc w:val="center"/>
              <w:rPr>
                <w:sz w:val="24"/>
                <w:szCs w:val="24"/>
              </w:rPr>
            </w:pPr>
          </w:p>
        </w:tc>
      </w:tr>
      <w:tr w:rsidR="006D522F" w:rsidTr="006D522F">
        <w:trPr>
          <w:trHeight w:val="318"/>
          <w:jc w:val="center"/>
        </w:trPr>
        <w:tc>
          <w:tcPr>
            <w:tcW w:w="868" w:type="dxa"/>
            <w:tcBorders>
              <w:top w:val="nil"/>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15:00</w:t>
            </w:r>
          </w:p>
        </w:tc>
        <w:tc>
          <w:tcPr>
            <w:tcW w:w="1501" w:type="dxa"/>
            <w:noWrap/>
            <w:vAlign w:val="center"/>
          </w:tcPr>
          <w:p w:rsidR="006D522F" w:rsidRDefault="006D522F">
            <w:pPr>
              <w:spacing w:after="0"/>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single" w:sz="4" w:space="0" w:color="000000"/>
              <w:left w:val="nil"/>
              <w:bottom w:val="nil"/>
              <w:right w:val="nil"/>
            </w:tcBorders>
            <w:noWrap/>
            <w:vAlign w:val="center"/>
          </w:tcPr>
          <w:p w:rsidR="006D522F" w:rsidRDefault="006D522F">
            <w:pPr>
              <w:spacing w:after="0"/>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nil"/>
              <w:left w:val="nil"/>
              <w:bottom w:val="nil"/>
              <w:right w:val="single" w:sz="4" w:space="0" w:color="auto"/>
            </w:tcBorders>
            <w:noWrap/>
            <w:vAlign w:val="center"/>
          </w:tcPr>
          <w:p w:rsidR="006D522F" w:rsidRDefault="006D522F">
            <w:pPr>
              <w:spacing w:after="0"/>
              <w:jc w:val="center"/>
              <w:rPr>
                <w:sz w:val="24"/>
                <w:szCs w:val="24"/>
              </w:rPr>
            </w:pPr>
          </w:p>
        </w:tc>
      </w:tr>
      <w:tr w:rsidR="006D522F" w:rsidTr="006D522F">
        <w:trPr>
          <w:trHeight w:val="318"/>
          <w:jc w:val="center"/>
        </w:trPr>
        <w:tc>
          <w:tcPr>
            <w:tcW w:w="868" w:type="dxa"/>
            <w:tcBorders>
              <w:top w:val="nil"/>
              <w:left w:val="single" w:sz="4" w:space="0" w:color="auto"/>
              <w:bottom w:val="single" w:sz="4" w:space="0" w:color="auto"/>
              <w:right w:val="single" w:sz="4" w:space="0" w:color="auto"/>
            </w:tcBorders>
            <w:shd w:val="clear" w:color="auto" w:fill="FFFF00"/>
            <w:noWrap/>
            <w:vAlign w:val="center"/>
            <w:hideMark/>
          </w:tcPr>
          <w:p w:rsidR="006D522F" w:rsidRDefault="006D522F">
            <w:pPr>
              <w:spacing w:after="0"/>
              <w:rPr>
                <w:b/>
                <w:bCs/>
                <w:sz w:val="24"/>
                <w:szCs w:val="24"/>
              </w:rPr>
            </w:pPr>
            <w:r>
              <w:rPr>
                <w:b/>
                <w:bCs/>
                <w:sz w:val="24"/>
                <w:szCs w:val="24"/>
              </w:rPr>
              <w:t>16:00</w:t>
            </w:r>
          </w:p>
        </w:tc>
        <w:tc>
          <w:tcPr>
            <w:tcW w:w="1501" w:type="dxa"/>
            <w:tcBorders>
              <w:top w:val="nil"/>
              <w:left w:val="nil"/>
              <w:bottom w:val="single" w:sz="4" w:space="0" w:color="auto"/>
              <w:right w:val="nil"/>
            </w:tcBorders>
            <w:noWrap/>
            <w:vAlign w:val="center"/>
          </w:tcPr>
          <w:p w:rsidR="006D522F" w:rsidRDefault="006D522F">
            <w:pPr>
              <w:spacing w:after="0"/>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nil"/>
              <w:left w:val="nil"/>
              <w:bottom w:val="single" w:sz="4" w:space="0" w:color="auto"/>
              <w:right w:val="nil"/>
            </w:tcBorders>
            <w:noWrap/>
            <w:vAlign w:val="center"/>
          </w:tcPr>
          <w:p w:rsidR="006D522F" w:rsidRDefault="006D522F">
            <w:pPr>
              <w:spacing w:after="0"/>
              <w:jc w:val="cente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22F" w:rsidRDefault="006D522F">
            <w:pPr>
              <w:spacing w:after="0" w:line="240" w:lineRule="auto"/>
              <w:rPr>
                <w:sz w:val="24"/>
                <w:szCs w:val="24"/>
              </w:rPr>
            </w:pPr>
          </w:p>
        </w:tc>
        <w:tc>
          <w:tcPr>
            <w:tcW w:w="1501" w:type="dxa"/>
            <w:tcBorders>
              <w:top w:val="nil"/>
              <w:left w:val="nil"/>
              <w:bottom w:val="single" w:sz="4" w:space="0" w:color="auto"/>
              <w:right w:val="single" w:sz="4" w:space="0" w:color="auto"/>
            </w:tcBorders>
            <w:noWrap/>
            <w:vAlign w:val="center"/>
          </w:tcPr>
          <w:p w:rsidR="006D522F" w:rsidRDefault="006D522F">
            <w:pPr>
              <w:spacing w:after="0"/>
              <w:jc w:val="center"/>
              <w:rPr>
                <w:sz w:val="24"/>
                <w:szCs w:val="24"/>
              </w:rPr>
            </w:pPr>
          </w:p>
        </w:tc>
      </w:tr>
    </w:tbl>
    <w:p w:rsidR="006D522F" w:rsidRDefault="006D522F" w:rsidP="006D522F">
      <w:pPr>
        <w:spacing w:after="0"/>
        <w:jc w:val="center"/>
        <w:rPr>
          <w:i/>
          <w:iCs/>
          <w:sz w:val="24"/>
          <w:szCs w:val="24"/>
        </w:rPr>
      </w:pPr>
      <w:r>
        <w:rPr>
          <w:i/>
          <w:iCs/>
          <w:sz w:val="24"/>
          <w:szCs w:val="24"/>
        </w:rPr>
        <w:t>Figure 2: A typical week in years 1 and 2.  Actual times may differ depending on the course.</w:t>
      </w:r>
    </w:p>
    <w:p w:rsidR="006D522F" w:rsidRDefault="006D522F" w:rsidP="006D522F">
      <w:pPr>
        <w:pStyle w:val="ListParagraph"/>
        <w:numPr>
          <w:ilvl w:val="0"/>
          <w:numId w:val="2"/>
        </w:numPr>
        <w:spacing w:after="0"/>
        <w:rPr>
          <w:b/>
          <w:bCs/>
          <w:sz w:val="24"/>
          <w:szCs w:val="24"/>
          <w:u w:val="single"/>
        </w:rPr>
      </w:pPr>
      <w:r>
        <w:rPr>
          <w:b/>
          <w:bCs/>
          <w:sz w:val="24"/>
          <w:szCs w:val="24"/>
          <w:u w:val="single"/>
        </w:rPr>
        <w:t>Years 3 and 4</w:t>
      </w:r>
    </w:p>
    <w:p w:rsidR="006D522F" w:rsidRDefault="006D522F" w:rsidP="006D522F">
      <w:pPr>
        <w:pStyle w:val="ListParagraph"/>
        <w:spacing w:after="0"/>
        <w:ind w:left="360"/>
        <w:rPr>
          <w:b/>
          <w:bCs/>
          <w:sz w:val="24"/>
          <w:szCs w:val="24"/>
          <w:u w:val="single"/>
        </w:rPr>
      </w:pPr>
    </w:p>
    <w:p w:rsidR="006D522F" w:rsidRDefault="006D522F" w:rsidP="006D522F">
      <w:pPr>
        <w:spacing w:after="0"/>
        <w:rPr>
          <w:sz w:val="24"/>
          <w:szCs w:val="24"/>
        </w:rPr>
      </w:pPr>
      <w:r>
        <w:rPr>
          <w:sz w:val="24"/>
          <w:szCs w:val="24"/>
        </w:rPr>
        <w:t>In Years 3 and 4, the 4 threads started in Years 1 and 2 continue; however the format adopted in these 2 years is different in that there are no structured classroom courses.  In Year 3, students pass through 6 clerkships, wherein the core competencies in clinical medicine are learnt: Internal Medicine, Surgery, Pediatrics, Obstetrics and Gynecology, Psychiatry, and an initial exposure to low acuity Emergency Medicine (figure 3).</w:t>
      </w:r>
    </w:p>
    <w:p w:rsidR="006D522F" w:rsidRDefault="006D522F" w:rsidP="006D522F">
      <w:pPr>
        <w:spacing w:after="0"/>
        <w:rPr>
          <w:sz w:val="24"/>
          <w:szCs w:val="24"/>
        </w:rPr>
      </w:pPr>
    </w:p>
    <w:tbl>
      <w:tblPr>
        <w:tblW w:w="10176" w:type="dxa"/>
        <w:tblInd w:w="-162" w:type="dxa"/>
        <w:tblLayout w:type="fixed"/>
        <w:tblLook w:val="04A0" w:firstRow="1" w:lastRow="0" w:firstColumn="1" w:lastColumn="0" w:noHBand="0" w:noVBand="1"/>
      </w:tblPr>
      <w:tblGrid>
        <w:gridCol w:w="1710"/>
        <w:gridCol w:w="1184"/>
        <w:gridCol w:w="1172"/>
        <w:gridCol w:w="962"/>
        <w:gridCol w:w="1354"/>
        <w:gridCol w:w="1214"/>
        <w:gridCol w:w="1298"/>
        <w:gridCol w:w="1282"/>
      </w:tblGrid>
      <w:tr w:rsidR="006D522F" w:rsidTr="006D522F">
        <w:trPr>
          <w:trHeight w:val="350"/>
        </w:trPr>
        <w:tc>
          <w:tcPr>
            <w:tcW w:w="1710"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jc w:val="center"/>
              <w:rPr>
                <w:b/>
                <w:bCs/>
                <w:sz w:val="24"/>
                <w:szCs w:val="24"/>
              </w:rPr>
            </w:pPr>
            <w:r>
              <w:rPr>
                <w:b/>
                <w:bCs/>
                <w:sz w:val="24"/>
                <w:szCs w:val="24"/>
              </w:rPr>
              <w:t>Thread</w:t>
            </w:r>
          </w:p>
        </w:tc>
        <w:tc>
          <w:tcPr>
            <w:tcW w:w="8460" w:type="dxa"/>
            <w:gridSpan w:val="7"/>
            <w:tcBorders>
              <w:top w:val="single" w:sz="4" w:space="0" w:color="auto"/>
              <w:left w:val="nil"/>
              <w:bottom w:val="single" w:sz="4" w:space="0" w:color="auto"/>
              <w:right w:val="single" w:sz="4" w:space="0" w:color="auto"/>
            </w:tcBorders>
            <w:shd w:val="clear" w:color="auto" w:fill="FFFF00"/>
            <w:noWrap/>
            <w:vAlign w:val="center"/>
            <w:hideMark/>
          </w:tcPr>
          <w:p w:rsidR="006D522F" w:rsidRDefault="006D522F">
            <w:pPr>
              <w:spacing w:after="0"/>
              <w:jc w:val="center"/>
              <w:rPr>
                <w:b/>
                <w:bCs/>
                <w:sz w:val="24"/>
                <w:szCs w:val="24"/>
              </w:rPr>
            </w:pPr>
            <w:r>
              <w:rPr>
                <w:b/>
                <w:bCs/>
                <w:sz w:val="24"/>
                <w:szCs w:val="24"/>
              </w:rPr>
              <w:t>Year 3</w:t>
            </w:r>
          </w:p>
        </w:tc>
      </w:tr>
      <w:tr w:rsidR="006D522F" w:rsidTr="006D522F">
        <w:trPr>
          <w:trHeight w:val="1187"/>
        </w:trPr>
        <w:tc>
          <w:tcPr>
            <w:tcW w:w="1710" w:type="dxa"/>
            <w:vMerge w:val="restart"/>
            <w:tcBorders>
              <w:top w:val="nil"/>
              <w:left w:val="single" w:sz="4" w:space="0" w:color="auto"/>
              <w:bottom w:val="single" w:sz="4" w:space="0" w:color="000000"/>
              <w:right w:val="single" w:sz="4" w:space="0" w:color="auto"/>
            </w:tcBorders>
            <w:shd w:val="clear" w:color="auto" w:fill="CCFFCC"/>
            <w:vAlign w:val="center"/>
            <w:hideMark/>
          </w:tcPr>
          <w:p w:rsidR="006D522F" w:rsidRDefault="006D522F">
            <w:pPr>
              <w:spacing w:after="0"/>
              <w:rPr>
                <w:sz w:val="24"/>
                <w:szCs w:val="24"/>
              </w:rPr>
            </w:pPr>
            <w:r>
              <w:rPr>
                <w:sz w:val="24"/>
                <w:szCs w:val="24"/>
              </w:rPr>
              <w:t>Science of Medicine</w:t>
            </w:r>
          </w:p>
        </w:tc>
        <w:tc>
          <w:tcPr>
            <w:tcW w:w="1184"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4"/>
                <w:szCs w:val="24"/>
              </w:rPr>
            </w:pPr>
            <w:r>
              <w:rPr>
                <w:sz w:val="24"/>
                <w:szCs w:val="24"/>
              </w:rPr>
              <w:t>Internal Medicine</w:t>
            </w:r>
          </w:p>
          <w:p w:rsidR="006D522F" w:rsidRDefault="006D522F">
            <w:pPr>
              <w:spacing w:after="0"/>
              <w:jc w:val="center"/>
              <w:rPr>
                <w:sz w:val="24"/>
                <w:szCs w:val="24"/>
              </w:rPr>
            </w:pPr>
            <w:r>
              <w:rPr>
                <w:sz w:val="24"/>
                <w:szCs w:val="24"/>
              </w:rPr>
              <w:t>12 w</w:t>
            </w:r>
          </w:p>
        </w:tc>
        <w:tc>
          <w:tcPr>
            <w:tcW w:w="1171"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4"/>
                <w:szCs w:val="24"/>
              </w:rPr>
            </w:pPr>
            <w:r>
              <w:rPr>
                <w:sz w:val="24"/>
                <w:szCs w:val="24"/>
              </w:rPr>
              <w:t>Pediatrics</w:t>
            </w:r>
          </w:p>
          <w:p w:rsidR="006D522F" w:rsidRDefault="006D522F">
            <w:pPr>
              <w:spacing w:after="0"/>
              <w:jc w:val="center"/>
              <w:rPr>
                <w:sz w:val="24"/>
                <w:szCs w:val="24"/>
              </w:rPr>
            </w:pPr>
            <w:r>
              <w:rPr>
                <w:sz w:val="24"/>
                <w:szCs w:val="24"/>
              </w:rPr>
              <w:t>8 w</w:t>
            </w:r>
          </w:p>
        </w:tc>
        <w:tc>
          <w:tcPr>
            <w:tcW w:w="961"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4"/>
                <w:szCs w:val="24"/>
              </w:rPr>
            </w:pPr>
            <w:r>
              <w:rPr>
                <w:sz w:val="24"/>
                <w:szCs w:val="24"/>
              </w:rPr>
              <w:t>Surgery</w:t>
            </w:r>
          </w:p>
          <w:p w:rsidR="006D522F" w:rsidRDefault="006D522F">
            <w:pPr>
              <w:spacing w:after="0"/>
              <w:jc w:val="center"/>
              <w:rPr>
                <w:sz w:val="24"/>
                <w:szCs w:val="24"/>
              </w:rPr>
            </w:pPr>
            <w:r>
              <w:rPr>
                <w:sz w:val="24"/>
                <w:szCs w:val="24"/>
              </w:rPr>
              <w:t>9 w</w:t>
            </w:r>
          </w:p>
        </w:tc>
        <w:tc>
          <w:tcPr>
            <w:tcW w:w="1353"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4"/>
                <w:szCs w:val="24"/>
              </w:rPr>
            </w:pPr>
            <w:r>
              <w:rPr>
                <w:sz w:val="24"/>
                <w:szCs w:val="24"/>
              </w:rPr>
              <w:t>Obstetrics and Gynecology</w:t>
            </w:r>
          </w:p>
          <w:p w:rsidR="006D522F" w:rsidRDefault="006D522F">
            <w:pPr>
              <w:spacing w:after="0"/>
              <w:jc w:val="center"/>
              <w:rPr>
                <w:sz w:val="24"/>
                <w:szCs w:val="24"/>
              </w:rPr>
            </w:pPr>
            <w:r>
              <w:rPr>
                <w:sz w:val="24"/>
                <w:szCs w:val="24"/>
              </w:rPr>
              <w:t>8 w</w:t>
            </w:r>
          </w:p>
        </w:tc>
        <w:tc>
          <w:tcPr>
            <w:tcW w:w="1213"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4"/>
                <w:szCs w:val="24"/>
              </w:rPr>
            </w:pPr>
            <w:r>
              <w:rPr>
                <w:sz w:val="24"/>
                <w:szCs w:val="24"/>
              </w:rPr>
              <w:t>Psychiatry4 w</w:t>
            </w:r>
          </w:p>
        </w:tc>
        <w:tc>
          <w:tcPr>
            <w:tcW w:w="1297"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4"/>
                <w:szCs w:val="24"/>
              </w:rPr>
            </w:pPr>
            <w:r>
              <w:rPr>
                <w:sz w:val="24"/>
                <w:szCs w:val="24"/>
              </w:rPr>
              <w:t>Anesthesiology</w:t>
            </w:r>
          </w:p>
          <w:p w:rsidR="006D522F" w:rsidRDefault="006D522F">
            <w:pPr>
              <w:spacing w:after="0"/>
              <w:jc w:val="center"/>
              <w:rPr>
                <w:sz w:val="24"/>
                <w:szCs w:val="24"/>
              </w:rPr>
            </w:pPr>
            <w:r>
              <w:rPr>
                <w:sz w:val="24"/>
                <w:szCs w:val="24"/>
              </w:rPr>
              <w:t>3 w</w:t>
            </w:r>
          </w:p>
        </w:tc>
        <w:tc>
          <w:tcPr>
            <w:tcW w:w="1281"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4"/>
                <w:szCs w:val="24"/>
              </w:rPr>
            </w:pPr>
            <w:r>
              <w:rPr>
                <w:sz w:val="24"/>
                <w:szCs w:val="24"/>
              </w:rPr>
              <w:br/>
              <w:t xml:space="preserve">Vacation </w:t>
            </w:r>
          </w:p>
          <w:p w:rsidR="006D522F" w:rsidRDefault="006D522F">
            <w:pPr>
              <w:spacing w:after="0"/>
              <w:jc w:val="center"/>
              <w:rPr>
                <w:sz w:val="24"/>
                <w:szCs w:val="24"/>
              </w:rPr>
            </w:pPr>
            <w:r>
              <w:rPr>
                <w:sz w:val="24"/>
                <w:szCs w:val="24"/>
              </w:rPr>
              <w:t>4 w</w:t>
            </w:r>
            <w:r>
              <w:rPr>
                <w:sz w:val="24"/>
                <w:szCs w:val="24"/>
              </w:rPr>
              <w:br/>
            </w:r>
          </w:p>
        </w:tc>
      </w:tr>
      <w:tr w:rsidR="006D522F" w:rsidTr="006D522F">
        <w:trPr>
          <w:trHeight w:val="620"/>
        </w:trPr>
        <w:tc>
          <w:tcPr>
            <w:tcW w:w="1710" w:type="dxa"/>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4"/>
                <w:szCs w:val="24"/>
              </w:rPr>
            </w:pPr>
          </w:p>
        </w:tc>
        <w:tc>
          <w:tcPr>
            <w:tcW w:w="8460" w:type="dxa"/>
            <w:gridSpan w:val="7"/>
            <w:tcBorders>
              <w:top w:val="single" w:sz="4" w:space="0" w:color="FFCC99"/>
              <w:left w:val="nil"/>
              <w:bottom w:val="nil"/>
              <w:right w:val="single" w:sz="4" w:space="0" w:color="000000"/>
            </w:tcBorders>
            <w:shd w:val="clear" w:color="auto" w:fill="FFCC99"/>
            <w:vAlign w:val="center"/>
            <w:hideMark/>
          </w:tcPr>
          <w:p w:rsidR="006D522F" w:rsidRDefault="006D522F">
            <w:pPr>
              <w:spacing w:after="0"/>
              <w:jc w:val="center"/>
              <w:rPr>
                <w:sz w:val="24"/>
                <w:szCs w:val="24"/>
              </w:rPr>
            </w:pPr>
            <w:r>
              <w:rPr>
                <w:sz w:val="24"/>
                <w:szCs w:val="24"/>
              </w:rPr>
              <w:t>Evidence Based Medicine</w:t>
            </w:r>
          </w:p>
        </w:tc>
      </w:tr>
      <w:tr w:rsidR="006D522F" w:rsidTr="006D522F">
        <w:trPr>
          <w:trHeight w:val="525"/>
        </w:trPr>
        <w:tc>
          <w:tcPr>
            <w:tcW w:w="1710" w:type="dxa"/>
            <w:tcBorders>
              <w:top w:val="nil"/>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rPr>
                <w:sz w:val="24"/>
                <w:szCs w:val="24"/>
              </w:rPr>
            </w:pPr>
            <w:r>
              <w:rPr>
                <w:sz w:val="24"/>
                <w:szCs w:val="24"/>
              </w:rPr>
              <w:t>Art of Medicine</w:t>
            </w:r>
          </w:p>
        </w:tc>
        <w:tc>
          <w:tcPr>
            <w:tcW w:w="1184" w:type="dxa"/>
            <w:vMerge w:val="restart"/>
            <w:tcBorders>
              <w:top w:val="single" w:sz="4" w:space="0" w:color="CCFFFF"/>
              <w:left w:val="nil"/>
              <w:bottom w:val="single" w:sz="4" w:space="0" w:color="000000"/>
              <w:right w:val="single" w:sz="4" w:space="0" w:color="CCFFFF"/>
            </w:tcBorders>
            <w:shd w:val="clear" w:color="auto" w:fill="CCFFFF"/>
            <w:vAlign w:val="center"/>
            <w:hideMark/>
          </w:tcPr>
          <w:p w:rsidR="006D522F" w:rsidRDefault="006D522F">
            <w:pPr>
              <w:spacing w:after="0"/>
              <w:rPr>
                <w:sz w:val="24"/>
                <w:szCs w:val="24"/>
              </w:rPr>
            </w:pPr>
            <w:r>
              <w:rPr>
                <w:sz w:val="24"/>
                <w:szCs w:val="24"/>
              </w:rPr>
              <w:t xml:space="preserve">The Practice </w:t>
            </w:r>
            <w:r>
              <w:rPr>
                <w:sz w:val="24"/>
                <w:szCs w:val="24"/>
              </w:rPr>
              <w:br/>
              <w:t>of Medicine</w:t>
            </w:r>
          </w:p>
        </w:tc>
        <w:tc>
          <w:tcPr>
            <w:tcW w:w="7276" w:type="dxa"/>
            <w:gridSpan w:val="6"/>
            <w:tcBorders>
              <w:top w:val="single" w:sz="4" w:space="0" w:color="CCFFFF"/>
              <w:left w:val="single" w:sz="4" w:space="0" w:color="CCFFFF"/>
              <w:bottom w:val="dotted" w:sz="4" w:space="0" w:color="auto"/>
              <w:right w:val="single" w:sz="4" w:space="0" w:color="000000"/>
            </w:tcBorders>
            <w:shd w:val="clear" w:color="auto" w:fill="CCFFFF"/>
            <w:vAlign w:val="center"/>
            <w:hideMark/>
          </w:tcPr>
          <w:p w:rsidR="006D522F" w:rsidRDefault="006D522F">
            <w:pPr>
              <w:spacing w:after="0"/>
              <w:jc w:val="center"/>
              <w:rPr>
                <w:sz w:val="24"/>
                <w:szCs w:val="24"/>
              </w:rPr>
            </w:pPr>
            <w:r>
              <w:rPr>
                <w:sz w:val="24"/>
                <w:szCs w:val="24"/>
              </w:rPr>
              <w:t>Clinical and Communication Skills</w:t>
            </w:r>
          </w:p>
        </w:tc>
      </w:tr>
      <w:tr w:rsidR="006D522F" w:rsidTr="006D522F">
        <w:trPr>
          <w:trHeight w:val="525"/>
        </w:trPr>
        <w:tc>
          <w:tcPr>
            <w:tcW w:w="1710" w:type="dxa"/>
            <w:vMerge w:val="restart"/>
            <w:tcBorders>
              <w:top w:val="nil"/>
              <w:left w:val="single" w:sz="4" w:space="0" w:color="auto"/>
              <w:bottom w:val="single" w:sz="4" w:space="0" w:color="000000"/>
              <w:right w:val="single" w:sz="4" w:space="0" w:color="auto"/>
            </w:tcBorders>
            <w:shd w:val="clear" w:color="auto" w:fill="CCFFCC"/>
            <w:vAlign w:val="center"/>
            <w:hideMark/>
          </w:tcPr>
          <w:p w:rsidR="006D522F" w:rsidRDefault="006D522F">
            <w:pPr>
              <w:spacing w:after="0"/>
              <w:rPr>
                <w:sz w:val="24"/>
                <w:szCs w:val="24"/>
              </w:rPr>
            </w:pPr>
            <w:r>
              <w:rPr>
                <w:sz w:val="24"/>
                <w:szCs w:val="24"/>
              </w:rPr>
              <w:t>Socio-cultural/ moral context &amp; professional development</w:t>
            </w:r>
          </w:p>
        </w:tc>
        <w:tc>
          <w:tcPr>
            <w:tcW w:w="8460" w:type="dxa"/>
            <w:vMerge/>
            <w:tcBorders>
              <w:top w:val="single" w:sz="4" w:space="0" w:color="CCFFFF"/>
              <w:left w:val="nil"/>
              <w:bottom w:val="single" w:sz="4" w:space="0" w:color="000000"/>
              <w:right w:val="single" w:sz="4" w:space="0" w:color="CCFFFF"/>
            </w:tcBorders>
            <w:vAlign w:val="center"/>
            <w:hideMark/>
          </w:tcPr>
          <w:p w:rsidR="006D522F" w:rsidRDefault="006D522F">
            <w:pPr>
              <w:spacing w:after="0" w:line="240" w:lineRule="auto"/>
              <w:rPr>
                <w:sz w:val="24"/>
                <w:szCs w:val="24"/>
              </w:rPr>
            </w:pPr>
          </w:p>
        </w:tc>
        <w:tc>
          <w:tcPr>
            <w:tcW w:w="7276" w:type="dxa"/>
            <w:gridSpan w:val="6"/>
            <w:tcBorders>
              <w:top w:val="dotted" w:sz="4" w:space="0" w:color="auto"/>
              <w:left w:val="single" w:sz="4" w:space="0" w:color="CCFFFF"/>
              <w:bottom w:val="dotted" w:sz="4" w:space="0" w:color="auto"/>
              <w:right w:val="single" w:sz="4" w:space="0" w:color="000000"/>
            </w:tcBorders>
            <w:shd w:val="clear" w:color="auto" w:fill="CCFFFF"/>
            <w:vAlign w:val="center"/>
            <w:hideMark/>
          </w:tcPr>
          <w:p w:rsidR="006D522F" w:rsidRDefault="006D522F">
            <w:pPr>
              <w:spacing w:after="0"/>
              <w:jc w:val="center"/>
              <w:rPr>
                <w:sz w:val="24"/>
                <w:szCs w:val="24"/>
              </w:rPr>
            </w:pPr>
            <w:r>
              <w:rPr>
                <w:sz w:val="24"/>
                <w:szCs w:val="24"/>
              </w:rPr>
              <w:t>Ethics, Professionalism, and Humanities</w:t>
            </w:r>
          </w:p>
        </w:tc>
      </w:tr>
      <w:tr w:rsidR="006D522F" w:rsidTr="006D522F">
        <w:trPr>
          <w:trHeight w:val="525"/>
        </w:trPr>
        <w:tc>
          <w:tcPr>
            <w:tcW w:w="1710" w:type="dxa"/>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4"/>
                <w:szCs w:val="24"/>
              </w:rPr>
            </w:pPr>
          </w:p>
        </w:tc>
        <w:tc>
          <w:tcPr>
            <w:tcW w:w="8460" w:type="dxa"/>
            <w:vMerge/>
            <w:tcBorders>
              <w:top w:val="single" w:sz="4" w:space="0" w:color="CCFFFF"/>
              <w:left w:val="nil"/>
              <w:bottom w:val="single" w:sz="4" w:space="0" w:color="000000"/>
              <w:right w:val="single" w:sz="4" w:space="0" w:color="CCFFFF"/>
            </w:tcBorders>
            <w:vAlign w:val="center"/>
            <w:hideMark/>
          </w:tcPr>
          <w:p w:rsidR="006D522F" w:rsidRDefault="006D522F">
            <w:pPr>
              <w:spacing w:after="0" w:line="240" w:lineRule="auto"/>
              <w:rPr>
                <w:sz w:val="24"/>
                <w:szCs w:val="24"/>
              </w:rPr>
            </w:pPr>
          </w:p>
        </w:tc>
        <w:tc>
          <w:tcPr>
            <w:tcW w:w="7276" w:type="dxa"/>
            <w:gridSpan w:val="6"/>
            <w:tcBorders>
              <w:top w:val="dotted" w:sz="4" w:space="0" w:color="auto"/>
              <w:left w:val="single" w:sz="4" w:space="0" w:color="CCFFFF"/>
              <w:bottom w:val="dotted" w:sz="4" w:space="0" w:color="auto"/>
              <w:right w:val="single" w:sz="4" w:space="0" w:color="000000"/>
            </w:tcBorders>
            <w:shd w:val="clear" w:color="auto" w:fill="CCFFFF"/>
            <w:noWrap/>
            <w:vAlign w:val="center"/>
            <w:hideMark/>
          </w:tcPr>
          <w:p w:rsidR="006D522F" w:rsidRDefault="006D522F">
            <w:pPr>
              <w:spacing w:after="0"/>
              <w:jc w:val="center"/>
              <w:rPr>
                <w:sz w:val="24"/>
                <w:szCs w:val="24"/>
              </w:rPr>
            </w:pPr>
            <w:r>
              <w:rPr>
                <w:sz w:val="24"/>
                <w:szCs w:val="24"/>
              </w:rPr>
              <w:t>Social and Preventive Medicine</w:t>
            </w:r>
          </w:p>
        </w:tc>
      </w:tr>
      <w:tr w:rsidR="006D522F" w:rsidTr="006D522F">
        <w:trPr>
          <w:trHeight w:val="525"/>
        </w:trPr>
        <w:tc>
          <w:tcPr>
            <w:tcW w:w="1710" w:type="dxa"/>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4"/>
                <w:szCs w:val="24"/>
              </w:rPr>
            </w:pPr>
          </w:p>
        </w:tc>
        <w:tc>
          <w:tcPr>
            <w:tcW w:w="8460" w:type="dxa"/>
            <w:vMerge/>
            <w:tcBorders>
              <w:top w:val="single" w:sz="4" w:space="0" w:color="CCFFFF"/>
              <w:left w:val="nil"/>
              <w:bottom w:val="single" w:sz="4" w:space="0" w:color="000000"/>
              <w:right w:val="single" w:sz="4" w:space="0" w:color="CCFFFF"/>
            </w:tcBorders>
            <w:vAlign w:val="center"/>
            <w:hideMark/>
          </w:tcPr>
          <w:p w:rsidR="006D522F" w:rsidRDefault="006D522F">
            <w:pPr>
              <w:spacing w:after="0" w:line="240" w:lineRule="auto"/>
              <w:rPr>
                <w:sz w:val="24"/>
                <w:szCs w:val="24"/>
              </w:rPr>
            </w:pPr>
          </w:p>
        </w:tc>
        <w:tc>
          <w:tcPr>
            <w:tcW w:w="7276" w:type="dxa"/>
            <w:gridSpan w:val="6"/>
            <w:tcBorders>
              <w:top w:val="dotted" w:sz="4" w:space="0" w:color="auto"/>
              <w:left w:val="single" w:sz="4" w:space="0" w:color="CCFFFF"/>
              <w:bottom w:val="single" w:sz="4" w:space="0" w:color="auto"/>
              <w:right w:val="single" w:sz="4" w:space="0" w:color="000000"/>
            </w:tcBorders>
            <w:shd w:val="clear" w:color="auto" w:fill="CCFFFF"/>
            <w:noWrap/>
            <w:vAlign w:val="center"/>
            <w:hideMark/>
          </w:tcPr>
          <w:p w:rsidR="006D522F" w:rsidRDefault="006D522F">
            <w:pPr>
              <w:spacing w:after="0"/>
              <w:jc w:val="center"/>
              <w:rPr>
                <w:sz w:val="24"/>
                <w:szCs w:val="24"/>
              </w:rPr>
            </w:pPr>
            <w:r>
              <w:rPr>
                <w:sz w:val="24"/>
                <w:szCs w:val="24"/>
              </w:rPr>
              <w:t>Personal and Professional Development</w:t>
            </w:r>
          </w:p>
        </w:tc>
      </w:tr>
    </w:tbl>
    <w:p w:rsidR="006D522F" w:rsidRDefault="006D522F" w:rsidP="006D522F">
      <w:pPr>
        <w:spacing w:after="0"/>
        <w:jc w:val="center"/>
        <w:rPr>
          <w:i/>
          <w:iCs/>
          <w:sz w:val="24"/>
          <w:szCs w:val="24"/>
        </w:rPr>
      </w:pPr>
      <w:r>
        <w:rPr>
          <w:i/>
          <w:iCs/>
          <w:sz w:val="24"/>
          <w:szCs w:val="24"/>
        </w:rPr>
        <w:t>Figure 3: General Structure of Year 3.</w:t>
      </w:r>
    </w:p>
    <w:p w:rsidR="006D522F" w:rsidRDefault="006D522F" w:rsidP="006D522F">
      <w:pPr>
        <w:spacing w:after="0"/>
        <w:jc w:val="center"/>
        <w:rPr>
          <w:i/>
          <w:iCs/>
          <w:sz w:val="24"/>
          <w:szCs w:val="24"/>
        </w:rPr>
      </w:pPr>
    </w:p>
    <w:p w:rsidR="006D522F" w:rsidRDefault="006D522F" w:rsidP="006D522F">
      <w:pPr>
        <w:spacing w:after="0"/>
        <w:rPr>
          <w:sz w:val="24"/>
          <w:szCs w:val="24"/>
        </w:rPr>
      </w:pPr>
      <w:r>
        <w:rPr>
          <w:sz w:val="24"/>
          <w:szCs w:val="24"/>
        </w:rPr>
        <w:t>In year 4, students reinforce their knowledge and skills in internal medicine (where they serve as acting interns), pediatrics, emergency medicine, and primary care (Family Medicine), and are given the chance to explore their interests through electives and subspecialty rotations (figure 4).</w:t>
      </w:r>
    </w:p>
    <w:p w:rsidR="006D522F" w:rsidRDefault="006D522F" w:rsidP="006D522F">
      <w:pPr>
        <w:spacing w:after="0"/>
        <w:rPr>
          <w:sz w:val="24"/>
          <w:szCs w:val="24"/>
        </w:rPr>
      </w:pPr>
      <w:r>
        <w:rPr>
          <w:sz w:val="24"/>
          <w:szCs w:val="24"/>
        </w:rPr>
        <w:t>During Year 4 as well, students will gain an understanding of the role of the health care system in the overall delivery and quality of care through a rotation in Public Health, in which they engage in a scholarly group project that addresses an aspect of public health, community practice, or the health care system in Lebanon. In addition, the principles of epidemiology become directly intertwined with practice through sessions in Evidence Based Medicine.</w:t>
      </w:r>
    </w:p>
    <w:p w:rsidR="006D522F" w:rsidRDefault="006D522F" w:rsidP="006D522F">
      <w:pPr>
        <w:spacing w:after="0"/>
        <w:rPr>
          <w:sz w:val="24"/>
          <w:szCs w:val="24"/>
        </w:rPr>
      </w:pPr>
    </w:p>
    <w:p w:rsidR="006D522F" w:rsidRDefault="006D522F" w:rsidP="006D522F">
      <w:pPr>
        <w:spacing w:after="0"/>
        <w:rPr>
          <w:sz w:val="24"/>
          <w:szCs w:val="24"/>
        </w:rPr>
      </w:pPr>
    </w:p>
    <w:p w:rsidR="006D522F" w:rsidRDefault="006D522F" w:rsidP="006D522F">
      <w:pPr>
        <w:spacing w:after="0"/>
        <w:rPr>
          <w:sz w:val="24"/>
          <w:szCs w:val="24"/>
        </w:rPr>
      </w:pPr>
    </w:p>
    <w:p w:rsidR="006D522F" w:rsidRDefault="006D522F" w:rsidP="006D522F">
      <w:pPr>
        <w:spacing w:after="0"/>
        <w:rPr>
          <w:sz w:val="24"/>
          <w:szCs w:val="24"/>
        </w:rPr>
      </w:pPr>
    </w:p>
    <w:p w:rsidR="006D522F" w:rsidRDefault="006D522F" w:rsidP="006D522F">
      <w:pPr>
        <w:spacing w:after="0"/>
        <w:rPr>
          <w:sz w:val="24"/>
          <w:szCs w:val="24"/>
        </w:rPr>
      </w:pPr>
    </w:p>
    <w:tbl>
      <w:tblPr>
        <w:tblW w:w="11473" w:type="dxa"/>
        <w:jc w:val="center"/>
        <w:tblLook w:val="04A0" w:firstRow="1" w:lastRow="0" w:firstColumn="1" w:lastColumn="0" w:noHBand="0" w:noVBand="1"/>
      </w:tblPr>
      <w:tblGrid>
        <w:gridCol w:w="1846"/>
        <w:gridCol w:w="928"/>
        <w:gridCol w:w="92"/>
        <w:gridCol w:w="1012"/>
        <w:gridCol w:w="1117"/>
        <w:gridCol w:w="1061"/>
        <w:gridCol w:w="746"/>
        <w:gridCol w:w="754"/>
        <w:gridCol w:w="1083"/>
        <w:gridCol w:w="925"/>
        <w:gridCol w:w="979"/>
        <w:gridCol w:w="930"/>
      </w:tblGrid>
      <w:tr w:rsidR="006D522F" w:rsidTr="006D522F">
        <w:trPr>
          <w:trHeight w:val="260"/>
          <w:jc w:val="center"/>
        </w:trPr>
        <w:tc>
          <w:tcPr>
            <w:tcW w:w="1846"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jc w:val="center"/>
              <w:rPr>
                <w:b/>
                <w:bCs/>
                <w:sz w:val="20"/>
                <w:szCs w:val="20"/>
              </w:rPr>
            </w:pPr>
            <w:r>
              <w:rPr>
                <w:b/>
                <w:bCs/>
                <w:sz w:val="20"/>
                <w:szCs w:val="20"/>
              </w:rPr>
              <w:t>Thread</w:t>
            </w:r>
          </w:p>
        </w:tc>
        <w:tc>
          <w:tcPr>
            <w:tcW w:w="928" w:type="dxa"/>
            <w:tcBorders>
              <w:top w:val="single" w:sz="4" w:space="0" w:color="auto"/>
              <w:left w:val="nil"/>
              <w:bottom w:val="single" w:sz="4" w:space="0" w:color="auto"/>
              <w:right w:val="nil"/>
            </w:tcBorders>
            <w:shd w:val="clear" w:color="auto" w:fill="FFFF00"/>
          </w:tcPr>
          <w:p w:rsidR="006D522F" w:rsidRDefault="006D522F">
            <w:pPr>
              <w:spacing w:after="0"/>
              <w:jc w:val="center"/>
              <w:rPr>
                <w:b/>
                <w:bCs/>
                <w:sz w:val="20"/>
                <w:szCs w:val="20"/>
              </w:rPr>
            </w:pPr>
          </w:p>
        </w:tc>
        <w:tc>
          <w:tcPr>
            <w:tcW w:w="8699" w:type="dxa"/>
            <w:gridSpan w:val="10"/>
            <w:tcBorders>
              <w:top w:val="single" w:sz="4" w:space="0" w:color="auto"/>
              <w:left w:val="nil"/>
              <w:bottom w:val="single" w:sz="4" w:space="0" w:color="auto"/>
              <w:right w:val="single" w:sz="4" w:space="0" w:color="auto"/>
            </w:tcBorders>
            <w:shd w:val="clear" w:color="auto" w:fill="FFFF00"/>
            <w:vAlign w:val="center"/>
            <w:hideMark/>
          </w:tcPr>
          <w:p w:rsidR="006D522F" w:rsidRDefault="006D522F">
            <w:pPr>
              <w:spacing w:after="0"/>
              <w:jc w:val="center"/>
              <w:rPr>
                <w:b/>
                <w:bCs/>
                <w:sz w:val="20"/>
                <w:szCs w:val="20"/>
              </w:rPr>
            </w:pPr>
            <w:r>
              <w:rPr>
                <w:b/>
                <w:bCs/>
                <w:sz w:val="20"/>
                <w:szCs w:val="20"/>
              </w:rPr>
              <w:t>Year 4</w:t>
            </w:r>
          </w:p>
        </w:tc>
      </w:tr>
      <w:tr w:rsidR="006D522F" w:rsidTr="006D522F">
        <w:trPr>
          <w:trHeight w:val="1313"/>
          <w:jc w:val="center"/>
        </w:trPr>
        <w:tc>
          <w:tcPr>
            <w:tcW w:w="1846" w:type="dxa"/>
            <w:vMerge w:val="restart"/>
            <w:tcBorders>
              <w:top w:val="nil"/>
              <w:left w:val="single" w:sz="4" w:space="0" w:color="auto"/>
              <w:bottom w:val="single" w:sz="4" w:space="0" w:color="000000"/>
              <w:right w:val="single" w:sz="4" w:space="0" w:color="auto"/>
            </w:tcBorders>
            <w:shd w:val="clear" w:color="auto" w:fill="CCFFCC"/>
            <w:vAlign w:val="center"/>
            <w:hideMark/>
          </w:tcPr>
          <w:p w:rsidR="006D522F" w:rsidRDefault="006D522F">
            <w:pPr>
              <w:spacing w:after="0"/>
              <w:rPr>
                <w:sz w:val="20"/>
                <w:szCs w:val="20"/>
              </w:rPr>
            </w:pPr>
            <w:r>
              <w:rPr>
                <w:sz w:val="20"/>
                <w:szCs w:val="20"/>
              </w:rPr>
              <w:t>Science of Medicine</w:t>
            </w:r>
          </w:p>
        </w:tc>
        <w:tc>
          <w:tcPr>
            <w:tcW w:w="1020" w:type="dxa"/>
            <w:gridSpan w:val="2"/>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Internal Med</w:t>
            </w:r>
          </w:p>
          <w:p w:rsidR="006D522F" w:rsidRDefault="006D522F">
            <w:pPr>
              <w:spacing w:after="0"/>
              <w:jc w:val="center"/>
              <w:rPr>
                <w:sz w:val="20"/>
                <w:szCs w:val="20"/>
              </w:rPr>
            </w:pPr>
            <w:r>
              <w:rPr>
                <w:sz w:val="20"/>
                <w:szCs w:val="20"/>
              </w:rPr>
              <w:t>8 w</w:t>
            </w:r>
          </w:p>
        </w:tc>
        <w:tc>
          <w:tcPr>
            <w:tcW w:w="1012"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Pediatrics</w:t>
            </w:r>
          </w:p>
          <w:p w:rsidR="006D522F" w:rsidRDefault="006D522F">
            <w:pPr>
              <w:spacing w:after="0"/>
              <w:jc w:val="center"/>
              <w:rPr>
                <w:sz w:val="20"/>
                <w:szCs w:val="20"/>
              </w:rPr>
            </w:pPr>
            <w:r>
              <w:rPr>
                <w:sz w:val="20"/>
                <w:szCs w:val="20"/>
              </w:rPr>
              <w:t xml:space="preserve"> 4 w</w:t>
            </w:r>
          </w:p>
        </w:tc>
        <w:tc>
          <w:tcPr>
            <w:tcW w:w="1117" w:type="dxa"/>
            <w:tcBorders>
              <w:top w:val="nil"/>
              <w:left w:val="nil"/>
              <w:bottom w:val="single" w:sz="4" w:space="0" w:color="FFCC99"/>
              <w:right w:val="single" w:sz="4" w:space="0" w:color="auto"/>
            </w:tcBorders>
            <w:shd w:val="clear" w:color="auto" w:fill="FFCC99"/>
            <w:vAlign w:val="center"/>
          </w:tcPr>
          <w:p w:rsidR="006D522F" w:rsidRDefault="006D522F">
            <w:pPr>
              <w:spacing w:after="0"/>
              <w:jc w:val="center"/>
              <w:rPr>
                <w:sz w:val="20"/>
                <w:szCs w:val="20"/>
              </w:rPr>
            </w:pPr>
            <w:r>
              <w:rPr>
                <w:sz w:val="20"/>
                <w:szCs w:val="20"/>
              </w:rPr>
              <w:t>Emergency Medicine</w:t>
            </w:r>
          </w:p>
          <w:p w:rsidR="006D522F" w:rsidRDefault="006D522F">
            <w:pPr>
              <w:spacing w:after="0"/>
              <w:jc w:val="center"/>
              <w:rPr>
                <w:sz w:val="20"/>
                <w:szCs w:val="20"/>
              </w:rPr>
            </w:pPr>
            <w:r>
              <w:rPr>
                <w:sz w:val="20"/>
                <w:szCs w:val="20"/>
              </w:rPr>
              <w:t>6 w</w:t>
            </w:r>
          </w:p>
          <w:p w:rsidR="006D522F" w:rsidRDefault="006D522F">
            <w:pPr>
              <w:spacing w:after="0"/>
              <w:jc w:val="center"/>
              <w:rPr>
                <w:sz w:val="20"/>
                <w:szCs w:val="20"/>
              </w:rPr>
            </w:pPr>
          </w:p>
        </w:tc>
        <w:tc>
          <w:tcPr>
            <w:tcW w:w="1061"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Neurology</w:t>
            </w:r>
          </w:p>
          <w:p w:rsidR="006D522F" w:rsidRDefault="006D522F">
            <w:pPr>
              <w:spacing w:after="0"/>
              <w:jc w:val="center"/>
              <w:rPr>
                <w:sz w:val="20"/>
                <w:szCs w:val="20"/>
              </w:rPr>
            </w:pPr>
            <w:r>
              <w:rPr>
                <w:sz w:val="20"/>
                <w:szCs w:val="20"/>
              </w:rPr>
              <w:t>4 w</w:t>
            </w:r>
          </w:p>
        </w:tc>
        <w:tc>
          <w:tcPr>
            <w:tcW w:w="746"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Family Med</w:t>
            </w:r>
          </w:p>
          <w:p w:rsidR="006D522F" w:rsidRDefault="006D522F">
            <w:pPr>
              <w:spacing w:after="0"/>
              <w:jc w:val="center"/>
              <w:rPr>
                <w:sz w:val="20"/>
                <w:szCs w:val="20"/>
              </w:rPr>
            </w:pPr>
            <w:r>
              <w:rPr>
                <w:sz w:val="20"/>
                <w:szCs w:val="20"/>
              </w:rPr>
              <w:t>4 w</w:t>
            </w:r>
          </w:p>
        </w:tc>
        <w:tc>
          <w:tcPr>
            <w:tcW w:w="754"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Public Health</w:t>
            </w:r>
          </w:p>
          <w:p w:rsidR="006D522F" w:rsidRDefault="006D522F">
            <w:pPr>
              <w:spacing w:after="0"/>
              <w:jc w:val="center"/>
              <w:rPr>
                <w:sz w:val="20"/>
                <w:szCs w:val="20"/>
              </w:rPr>
            </w:pPr>
            <w:r>
              <w:rPr>
                <w:sz w:val="20"/>
                <w:szCs w:val="20"/>
              </w:rPr>
              <w:t>2 w</w:t>
            </w:r>
          </w:p>
        </w:tc>
        <w:tc>
          <w:tcPr>
            <w:tcW w:w="1083"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 xml:space="preserve">2 </w:t>
            </w:r>
            <w:proofErr w:type="spellStart"/>
            <w:r>
              <w:rPr>
                <w:sz w:val="20"/>
                <w:szCs w:val="20"/>
              </w:rPr>
              <w:t>Selectives</w:t>
            </w:r>
            <w:proofErr w:type="spellEnd"/>
            <w:r>
              <w:rPr>
                <w:sz w:val="20"/>
                <w:szCs w:val="20"/>
              </w:rPr>
              <w:t>:</w:t>
            </w:r>
          </w:p>
          <w:p w:rsidR="006D522F" w:rsidRDefault="006D522F">
            <w:pPr>
              <w:spacing w:after="0"/>
              <w:jc w:val="center"/>
              <w:rPr>
                <w:sz w:val="20"/>
                <w:szCs w:val="20"/>
              </w:rPr>
            </w:pPr>
            <w:r>
              <w:rPr>
                <w:sz w:val="20"/>
                <w:szCs w:val="20"/>
              </w:rPr>
              <w:t xml:space="preserve">Eye, </w:t>
            </w:r>
            <w:proofErr w:type="gramStart"/>
            <w:r>
              <w:rPr>
                <w:sz w:val="20"/>
                <w:szCs w:val="20"/>
              </w:rPr>
              <w:t>Ear ,</w:t>
            </w:r>
            <w:proofErr w:type="spellStart"/>
            <w:r>
              <w:rPr>
                <w:sz w:val="20"/>
                <w:szCs w:val="20"/>
              </w:rPr>
              <w:t>Radiol</w:t>
            </w:r>
            <w:proofErr w:type="spellEnd"/>
            <w:proofErr w:type="gramEnd"/>
            <w:r>
              <w:rPr>
                <w:sz w:val="20"/>
                <w:szCs w:val="20"/>
              </w:rPr>
              <w:t>.,</w:t>
            </w:r>
          </w:p>
          <w:p w:rsidR="006D522F" w:rsidRDefault="006D522F">
            <w:pPr>
              <w:spacing w:after="0"/>
              <w:jc w:val="center"/>
              <w:rPr>
                <w:sz w:val="20"/>
                <w:szCs w:val="20"/>
              </w:rPr>
            </w:pPr>
            <w:proofErr w:type="spellStart"/>
            <w:r>
              <w:rPr>
                <w:sz w:val="20"/>
                <w:szCs w:val="20"/>
              </w:rPr>
              <w:t>Dermatol</w:t>
            </w:r>
            <w:proofErr w:type="spellEnd"/>
            <w:r>
              <w:rPr>
                <w:sz w:val="20"/>
                <w:szCs w:val="20"/>
              </w:rPr>
              <w:t>.,</w:t>
            </w:r>
            <w:r>
              <w:rPr>
                <w:sz w:val="20"/>
                <w:szCs w:val="20"/>
              </w:rPr>
              <w:br/>
              <w:t>Surgery</w:t>
            </w:r>
          </w:p>
          <w:p w:rsidR="006D522F" w:rsidRDefault="006D522F">
            <w:pPr>
              <w:spacing w:after="0"/>
              <w:jc w:val="center"/>
              <w:rPr>
                <w:sz w:val="20"/>
                <w:szCs w:val="20"/>
              </w:rPr>
            </w:pPr>
            <w:r>
              <w:rPr>
                <w:sz w:val="20"/>
                <w:szCs w:val="20"/>
              </w:rPr>
              <w:t>8 w</w:t>
            </w:r>
          </w:p>
        </w:tc>
        <w:tc>
          <w:tcPr>
            <w:tcW w:w="925" w:type="dxa"/>
            <w:tcBorders>
              <w:top w:val="nil"/>
              <w:left w:val="nil"/>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2 Electives</w:t>
            </w:r>
          </w:p>
          <w:p w:rsidR="006D522F" w:rsidRDefault="006D522F">
            <w:pPr>
              <w:spacing w:after="0"/>
              <w:jc w:val="center"/>
              <w:rPr>
                <w:sz w:val="20"/>
                <w:szCs w:val="20"/>
              </w:rPr>
            </w:pPr>
            <w:r>
              <w:rPr>
                <w:sz w:val="20"/>
                <w:szCs w:val="20"/>
              </w:rPr>
              <w:t>8 w</w:t>
            </w:r>
          </w:p>
        </w:tc>
        <w:tc>
          <w:tcPr>
            <w:tcW w:w="979" w:type="dxa"/>
            <w:tcBorders>
              <w:top w:val="nil"/>
              <w:left w:val="nil"/>
              <w:bottom w:val="nil"/>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Capstone</w:t>
            </w:r>
          </w:p>
          <w:p w:rsidR="006D522F" w:rsidRDefault="006D522F">
            <w:pPr>
              <w:spacing w:after="0"/>
              <w:jc w:val="center"/>
              <w:rPr>
                <w:sz w:val="20"/>
                <w:szCs w:val="20"/>
              </w:rPr>
            </w:pPr>
            <w:r>
              <w:rPr>
                <w:sz w:val="20"/>
                <w:szCs w:val="20"/>
              </w:rPr>
              <w:t>Course</w:t>
            </w:r>
          </w:p>
          <w:p w:rsidR="006D522F" w:rsidRDefault="006D522F">
            <w:pPr>
              <w:spacing w:after="0"/>
              <w:jc w:val="center"/>
              <w:rPr>
                <w:sz w:val="20"/>
                <w:szCs w:val="20"/>
              </w:rPr>
            </w:pPr>
            <w:r>
              <w:rPr>
                <w:sz w:val="20"/>
                <w:szCs w:val="20"/>
              </w:rPr>
              <w:t>1w</w:t>
            </w:r>
          </w:p>
        </w:tc>
        <w:tc>
          <w:tcPr>
            <w:tcW w:w="930" w:type="dxa"/>
            <w:tcBorders>
              <w:top w:val="nil"/>
              <w:left w:val="single" w:sz="4" w:space="0" w:color="auto"/>
              <w:bottom w:val="single" w:sz="4" w:space="0" w:color="FFCC99"/>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Vacation</w:t>
            </w:r>
          </w:p>
          <w:p w:rsidR="006D522F" w:rsidRDefault="006D522F">
            <w:pPr>
              <w:spacing w:after="0"/>
              <w:jc w:val="center"/>
              <w:rPr>
                <w:sz w:val="20"/>
                <w:szCs w:val="20"/>
              </w:rPr>
            </w:pPr>
            <w:r>
              <w:rPr>
                <w:sz w:val="20"/>
                <w:szCs w:val="20"/>
              </w:rPr>
              <w:t xml:space="preserve">4 w </w:t>
            </w:r>
          </w:p>
        </w:tc>
      </w:tr>
      <w:tr w:rsidR="006D522F" w:rsidTr="006D522F">
        <w:trPr>
          <w:trHeight w:val="503"/>
          <w:jc w:val="center"/>
        </w:trPr>
        <w:tc>
          <w:tcPr>
            <w:tcW w:w="0" w:type="auto"/>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0"/>
                <w:szCs w:val="20"/>
              </w:rPr>
            </w:pPr>
          </w:p>
        </w:tc>
        <w:tc>
          <w:tcPr>
            <w:tcW w:w="928" w:type="dxa"/>
            <w:tcBorders>
              <w:top w:val="single" w:sz="4" w:space="0" w:color="FFCC99"/>
              <w:left w:val="nil"/>
              <w:bottom w:val="single" w:sz="4" w:space="0" w:color="CCFFFF"/>
              <w:right w:val="nil"/>
            </w:tcBorders>
            <w:shd w:val="clear" w:color="auto" w:fill="FFCC99"/>
          </w:tcPr>
          <w:p w:rsidR="006D522F" w:rsidRDefault="006D522F">
            <w:pPr>
              <w:spacing w:after="0"/>
              <w:jc w:val="center"/>
              <w:rPr>
                <w:sz w:val="20"/>
                <w:szCs w:val="20"/>
              </w:rPr>
            </w:pPr>
          </w:p>
        </w:tc>
        <w:tc>
          <w:tcPr>
            <w:tcW w:w="8699" w:type="dxa"/>
            <w:gridSpan w:val="10"/>
            <w:tcBorders>
              <w:top w:val="single" w:sz="4" w:space="0" w:color="FFCC99"/>
              <w:left w:val="nil"/>
              <w:bottom w:val="single" w:sz="4" w:space="0" w:color="CCFFFF"/>
              <w:right w:val="single" w:sz="4" w:space="0" w:color="auto"/>
            </w:tcBorders>
            <w:shd w:val="clear" w:color="auto" w:fill="FFCC99"/>
            <w:vAlign w:val="center"/>
            <w:hideMark/>
          </w:tcPr>
          <w:p w:rsidR="006D522F" w:rsidRDefault="006D522F">
            <w:pPr>
              <w:spacing w:after="0"/>
              <w:jc w:val="center"/>
              <w:rPr>
                <w:sz w:val="20"/>
                <w:szCs w:val="20"/>
              </w:rPr>
            </w:pPr>
            <w:r>
              <w:rPr>
                <w:sz w:val="20"/>
                <w:szCs w:val="20"/>
              </w:rPr>
              <w:t>Evidence Based Medicine</w:t>
            </w:r>
          </w:p>
        </w:tc>
      </w:tr>
      <w:tr w:rsidR="006D522F" w:rsidTr="006D522F">
        <w:trPr>
          <w:trHeight w:val="611"/>
          <w:jc w:val="center"/>
        </w:trPr>
        <w:tc>
          <w:tcPr>
            <w:tcW w:w="1846" w:type="dxa"/>
            <w:tcBorders>
              <w:top w:val="nil"/>
              <w:left w:val="single" w:sz="4" w:space="0" w:color="auto"/>
              <w:bottom w:val="single" w:sz="4" w:space="0" w:color="auto"/>
              <w:right w:val="single" w:sz="4" w:space="0" w:color="auto"/>
            </w:tcBorders>
            <w:shd w:val="clear" w:color="auto" w:fill="CCFFCC"/>
            <w:noWrap/>
            <w:vAlign w:val="center"/>
            <w:hideMark/>
          </w:tcPr>
          <w:p w:rsidR="006D522F" w:rsidRDefault="006D522F">
            <w:pPr>
              <w:spacing w:after="0"/>
              <w:rPr>
                <w:sz w:val="20"/>
                <w:szCs w:val="20"/>
              </w:rPr>
            </w:pPr>
            <w:r>
              <w:rPr>
                <w:sz w:val="20"/>
                <w:szCs w:val="20"/>
              </w:rPr>
              <w:t>Art of Medicine</w:t>
            </w:r>
          </w:p>
        </w:tc>
        <w:tc>
          <w:tcPr>
            <w:tcW w:w="1020" w:type="dxa"/>
            <w:gridSpan w:val="2"/>
            <w:vMerge w:val="restart"/>
            <w:tcBorders>
              <w:top w:val="single" w:sz="4" w:space="0" w:color="CCFFFF"/>
              <w:left w:val="nil"/>
              <w:bottom w:val="single" w:sz="4" w:space="0" w:color="000000"/>
              <w:right w:val="nil"/>
            </w:tcBorders>
            <w:shd w:val="clear" w:color="auto" w:fill="CCFFFF"/>
            <w:vAlign w:val="center"/>
            <w:hideMark/>
          </w:tcPr>
          <w:p w:rsidR="006D522F" w:rsidRDefault="006D522F">
            <w:pPr>
              <w:spacing w:after="0"/>
              <w:rPr>
                <w:sz w:val="20"/>
                <w:szCs w:val="20"/>
              </w:rPr>
            </w:pPr>
            <w:r>
              <w:rPr>
                <w:sz w:val="20"/>
                <w:szCs w:val="20"/>
              </w:rPr>
              <w:t xml:space="preserve">Becoming </w:t>
            </w:r>
            <w:r>
              <w:rPr>
                <w:sz w:val="20"/>
                <w:szCs w:val="20"/>
              </w:rPr>
              <w:br/>
              <w:t>a Doctor</w:t>
            </w:r>
          </w:p>
        </w:tc>
        <w:tc>
          <w:tcPr>
            <w:tcW w:w="8607" w:type="dxa"/>
            <w:gridSpan w:val="9"/>
            <w:tcBorders>
              <w:top w:val="single" w:sz="4" w:space="0" w:color="CCFFFF"/>
              <w:left w:val="nil"/>
              <w:bottom w:val="dotted" w:sz="4" w:space="0" w:color="auto"/>
              <w:right w:val="single" w:sz="4" w:space="0" w:color="auto"/>
            </w:tcBorders>
            <w:shd w:val="clear" w:color="auto" w:fill="CCFFFF"/>
            <w:vAlign w:val="center"/>
            <w:hideMark/>
          </w:tcPr>
          <w:p w:rsidR="006D522F" w:rsidRDefault="006D522F">
            <w:pPr>
              <w:spacing w:after="0"/>
              <w:jc w:val="center"/>
              <w:rPr>
                <w:sz w:val="20"/>
                <w:szCs w:val="20"/>
              </w:rPr>
            </w:pPr>
            <w:r>
              <w:rPr>
                <w:sz w:val="20"/>
                <w:szCs w:val="20"/>
              </w:rPr>
              <w:t>Clinical and Communication Skills</w:t>
            </w:r>
          </w:p>
        </w:tc>
      </w:tr>
      <w:tr w:rsidR="006D522F" w:rsidTr="006D522F">
        <w:trPr>
          <w:trHeight w:val="440"/>
          <w:jc w:val="center"/>
        </w:trPr>
        <w:tc>
          <w:tcPr>
            <w:tcW w:w="1846" w:type="dxa"/>
            <w:vMerge w:val="restart"/>
            <w:tcBorders>
              <w:top w:val="nil"/>
              <w:left w:val="single" w:sz="4" w:space="0" w:color="auto"/>
              <w:bottom w:val="single" w:sz="4" w:space="0" w:color="000000"/>
              <w:right w:val="single" w:sz="4" w:space="0" w:color="auto"/>
            </w:tcBorders>
            <w:shd w:val="clear" w:color="auto" w:fill="CCFFCC"/>
            <w:vAlign w:val="center"/>
            <w:hideMark/>
          </w:tcPr>
          <w:p w:rsidR="006D522F" w:rsidRDefault="006D522F">
            <w:pPr>
              <w:spacing w:after="0"/>
              <w:rPr>
                <w:sz w:val="20"/>
                <w:szCs w:val="20"/>
              </w:rPr>
            </w:pPr>
            <w:r>
              <w:rPr>
                <w:sz w:val="20"/>
                <w:szCs w:val="20"/>
              </w:rPr>
              <w:t>Sociocultural/ moral context professional development</w:t>
            </w:r>
          </w:p>
        </w:tc>
        <w:tc>
          <w:tcPr>
            <w:tcW w:w="0" w:type="auto"/>
            <w:gridSpan w:val="2"/>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0"/>
                <w:szCs w:val="20"/>
              </w:rPr>
            </w:pPr>
          </w:p>
        </w:tc>
        <w:tc>
          <w:tcPr>
            <w:tcW w:w="8607" w:type="dxa"/>
            <w:gridSpan w:val="9"/>
            <w:tcBorders>
              <w:top w:val="dotted" w:sz="4" w:space="0" w:color="auto"/>
              <w:left w:val="nil"/>
              <w:bottom w:val="dotted" w:sz="4" w:space="0" w:color="auto"/>
              <w:right w:val="single" w:sz="4" w:space="0" w:color="auto"/>
            </w:tcBorders>
            <w:shd w:val="clear" w:color="auto" w:fill="CCFFFF"/>
            <w:vAlign w:val="center"/>
            <w:hideMark/>
          </w:tcPr>
          <w:p w:rsidR="006D522F" w:rsidRDefault="006D522F">
            <w:pPr>
              <w:spacing w:after="0"/>
              <w:jc w:val="center"/>
              <w:rPr>
                <w:sz w:val="20"/>
                <w:szCs w:val="20"/>
              </w:rPr>
            </w:pPr>
            <w:r>
              <w:rPr>
                <w:sz w:val="20"/>
                <w:szCs w:val="20"/>
              </w:rPr>
              <w:t>Ethics, Professionalism, and Humanities</w:t>
            </w:r>
          </w:p>
        </w:tc>
      </w:tr>
      <w:tr w:rsidR="006D522F" w:rsidTr="006D522F">
        <w:trPr>
          <w:trHeight w:val="512"/>
          <w:jc w:val="center"/>
        </w:trPr>
        <w:tc>
          <w:tcPr>
            <w:tcW w:w="0" w:type="auto"/>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0"/>
                <w:szCs w:val="20"/>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0"/>
                <w:szCs w:val="20"/>
              </w:rPr>
            </w:pPr>
          </w:p>
        </w:tc>
        <w:tc>
          <w:tcPr>
            <w:tcW w:w="8607" w:type="dxa"/>
            <w:gridSpan w:val="9"/>
            <w:tcBorders>
              <w:top w:val="dotted" w:sz="4" w:space="0" w:color="auto"/>
              <w:left w:val="nil"/>
              <w:bottom w:val="dotted" w:sz="4" w:space="0" w:color="auto"/>
              <w:right w:val="single" w:sz="4" w:space="0" w:color="auto"/>
            </w:tcBorders>
            <w:shd w:val="clear" w:color="auto" w:fill="CCFFFF"/>
            <w:vAlign w:val="center"/>
            <w:hideMark/>
          </w:tcPr>
          <w:p w:rsidR="006D522F" w:rsidRDefault="006D522F">
            <w:pPr>
              <w:spacing w:after="0"/>
              <w:jc w:val="center"/>
              <w:rPr>
                <w:sz w:val="20"/>
                <w:szCs w:val="20"/>
              </w:rPr>
            </w:pPr>
            <w:r>
              <w:rPr>
                <w:sz w:val="20"/>
                <w:szCs w:val="20"/>
              </w:rPr>
              <w:t>Social and Preventive Medicine</w:t>
            </w:r>
          </w:p>
        </w:tc>
      </w:tr>
      <w:tr w:rsidR="006D522F" w:rsidTr="006D522F">
        <w:trPr>
          <w:trHeight w:val="377"/>
          <w:jc w:val="center"/>
        </w:trPr>
        <w:tc>
          <w:tcPr>
            <w:tcW w:w="0" w:type="auto"/>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0"/>
                <w:szCs w:val="20"/>
              </w:rPr>
            </w:pPr>
          </w:p>
        </w:tc>
        <w:tc>
          <w:tcPr>
            <w:tcW w:w="0" w:type="auto"/>
            <w:gridSpan w:val="2"/>
            <w:vMerge/>
            <w:tcBorders>
              <w:top w:val="nil"/>
              <w:left w:val="single" w:sz="4" w:space="0" w:color="auto"/>
              <w:bottom w:val="single" w:sz="4" w:space="0" w:color="000000"/>
              <w:right w:val="single" w:sz="4" w:space="0" w:color="auto"/>
            </w:tcBorders>
            <w:vAlign w:val="center"/>
            <w:hideMark/>
          </w:tcPr>
          <w:p w:rsidR="006D522F" w:rsidRDefault="006D522F">
            <w:pPr>
              <w:spacing w:after="0" w:line="240" w:lineRule="auto"/>
              <w:rPr>
                <w:sz w:val="20"/>
                <w:szCs w:val="20"/>
              </w:rPr>
            </w:pPr>
          </w:p>
        </w:tc>
        <w:tc>
          <w:tcPr>
            <w:tcW w:w="8607" w:type="dxa"/>
            <w:gridSpan w:val="9"/>
            <w:tcBorders>
              <w:top w:val="dotted" w:sz="4" w:space="0" w:color="auto"/>
              <w:left w:val="nil"/>
              <w:bottom w:val="single" w:sz="4" w:space="0" w:color="auto"/>
              <w:right w:val="single" w:sz="4" w:space="0" w:color="auto"/>
            </w:tcBorders>
            <w:shd w:val="clear" w:color="auto" w:fill="CCFFFF"/>
            <w:vAlign w:val="center"/>
            <w:hideMark/>
          </w:tcPr>
          <w:p w:rsidR="006D522F" w:rsidRDefault="006D522F">
            <w:pPr>
              <w:spacing w:after="0"/>
              <w:jc w:val="center"/>
              <w:rPr>
                <w:sz w:val="20"/>
                <w:szCs w:val="20"/>
              </w:rPr>
            </w:pPr>
            <w:r>
              <w:rPr>
                <w:sz w:val="20"/>
                <w:szCs w:val="20"/>
              </w:rPr>
              <w:t>Learning Communities</w:t>
            </w:r>
          </w:p>
        </w:tc>
      </w:tr>
    </w:tbl>
    <w:p w:rsidR="006D522F" w:rsidRDefault="006D522F" w:rsidP="006D522F">
      <w:pPr>
        <w:spacing w:after="0"/>
        <w:jc w:val="center"/>
        <w:rPr>
          <w:i/>
          <w:iCs/>
          <w:sz w:val="24"/>
          <w:szCs w:val="24"/>
        </w:rPr>
      </w:pPr>
      <w:proofErr w:type="gramStart"/>
      <w:r>
        <w:rPr>
          <w:i/>
          <w:iCs/>
          <w:sz w:val="24"/>
          <w:szCs w:val="24"/>
        </w:rPr>
        <w:t>Figure 4.</w:t>
      </w:r>
      <w:proofErr w:type="gramEnd"/>
      <w:r>
        <w:rPr>
          <w:i/>
          <w:iCs/>
          <w:sz w:val="24"/>
          <w:szCs w:val="24"/>
        </w:rPr>
        <w:t xml:space="preserve"> General Structure of Year </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 xml:space="preserve">During both Years 3 and 4: </w:t>
      </w:r>
    </w:p>
    <w:p w:rsidR="006D522F" w:rsidRDefault="006D522F" w:rsidP="006D522F">
      <w:pPr>
        <w:spacing w:after="0"/>
        <w:rPr>
          <w:sz w:val="24"/>
          <w:szCs w:val="24"/>
        </w:rPr>
      </w:pPr>
    </w:p>
    <w:p w:rsidR="006D522F" w:rsidRDefault="006D522F" w:rsidP="006D522F">
      <w:pPr>
        <w:numPr>
          <w:ilvl w:val="0"/>
          <w:numId w:val="7"/>
        </w:numPr>
        <w:spacing w:after="0"/>
        <w:rPr>
          <w:sz w:val="24"/>
          <w:szCs w:val="24"/>
        </w:rPr>
      </w:pPr>
      <w:r>
        <w:rPr>
          <w:sz w:val="24"/>
          <w:szCs w:val="24"/>
        </w:rPr>
        <w:t xml:space="preserve">Students become more directly involved in the community of practice at AUBMC.  </w:t>
      </w:r>
    </w:p>
    <w:p w:rsidR="006D522F" w:rsidRDefault="006D522F" w:rsidP="006D522F">
      <w:pPr>
        <w:numPr>
          <w:ilvl w:val="0"/>
          <w:numId w:val="7"/>
        </w:numPr>
        <w:spacing w:after="0"/>
        <w:rPr>
          <w:sz w:val="24"/>
          <w:szCs w:val="24"/>
        </w:rPr>
      </w:pPr>
      <w:r>
        <w:rPr>
          <w:sz w:val="24"/>
          <w:szCs w:val="24"/>
        </w:rPr>
        <w:t xml:space="preserve">Emphasis is placed on developing the students’ diagnostic and management skills, and further honing their communication skills, history taking and physical examination.  </w:t>
      </w:r>
    </w:p>
    <w:p w:rsidR="006D522F" w:rsidRDefault="006D522F" w:rsidP="006D522F">
      <w:pPr>
        <w:numPr>
          <w:ilvl w:val="0"/>
          <w:numId w:val="7"/>
        </w:numPr>
        <w:spacing w:after="0"/>
        <w:rPr>
          <w:sz w:val="24"/>
          <w:szCs w:val="24"/>
        </w:rPr>
      </w:pPr>
      <w:r>
        <w:rPr>
          <w:sz w:val="24"/>
          <w:szCs w:val="24"/>
        </w:rPr>
        <w:t xml:space="preserve">Students learn to interact with patients and their families and to work within the multidisciplinary health care team.  </w:t>
      </w:r>
    </w:p>
    <w:p w:rsidR="006D522F" w:rsidRDefault="006D522F" w:rsidP="006D522F">
      <w:pPr>
        <w:numPr>
          <w:ilvl w:val="0"/>
          <w:numId w:val="7"/>
        </w:numPr>
        <w:spacing w:after="0"/>
        <w:rPr>
          <w:sz w:val="24"/>
          <w:szCs w:val="24"/>
        </w:rPr>
      </w:pPr>
      <w:r>
        <w:rPr>
          <w:sz w:val="24"/>
          <w:szCs w:val="24"/>
        </w:rPr>
        <w:t xml:space="preserve">Despite the focus on clinical science, basic science education remains essential in order to reinforce what has been learned in the previous years, and to solidify the basis on which the students’ clinical knowledge and decision making are predicated.  </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 xml:space="preserve">Furthermore, the students will continue to explore, in a more complex manner, and within a real and more relevant setting, the social, cultural and moral aspects of healthcare, and to develop their reflective skills in order to better understand their role as physicians.   Thus, the thread entitled </w:t>
      </w:r>
      <w:proofErr w:type="gramStart"/>
      <w:r>
        <w:rPr>
          <w:i/>
          <w:iCs/>
          <w:sz w:val="24"/>
          <w:szCs w:val="24"/>
        </w:rPr>
        <w:t>Becoming</w:t>
      </w:r>
      <w:proofErr w:type="gramEnd"/>
      <w:r>
        <w:rPr>
          <w:i/>
          <w:iCs/>
          <w:sz w:val="24"/>
          <w:szCs w:val="24"/>
        </w:rPr>
        <w:t xml:space="preserve"> a Doctor</w:t>
      </w:r>
      <w:r>
        <w:rPr>
          <w:sz w:val="24"/>
          <w:szCs w:val="24"/>
        </w:rPr>
        <w:t xml:space="preserve"> will continue through Years 3 and 4, but in different formats such as:</w:t>
      </w:r>
    </w:p>
    <w:p w:rsidR="006D522F" w:rsidRDefault="006D522F" w:rsidP="006D522F">
      <w:pPr>
        <w:spacing w:after="0"/>
        <w:rPr>
          <w:sz w:val="24"/>
          <w:szCs w:val="24"/>
        </w:rPr>
      </w:pPr>
    </w:p>
    <w:p w:rsidR="006D522F" w:rsidRDefault="006D522F" w:rsidP="006D522F">
      <w:pPr>
        <w:numPr>
          <w:ilvl w:val="0"/>
          <w:numId w:val="8"/>
        </w:numPr>
        <w:spacing w:after="0"/>
        <w:rPr>
          <w:sz w:val="24"/>
          <w:szCs w:val="24"/>
        </w:rPr>
      </w:pPr>
      <w:r>
        <w:rPr>
          <w:sz w:val="24"/>
          <w:szCs w:val="24"/>
        </w:rPr>
        <w:t xml:space="preserve">Activities that are imbedded within the clerkships and directly related to patient-centered care and education (e.g. ethics rounds), thus making these topics more intimately tied to the actual clinical experience of the student  </w:t>
      </w:r>
    </w:p>
    <w:p w:rsidR="006D522F" w:rsidRDefault="006D522F" w:rsidP="006D522F">
      <w:pPr>
        <w:numPr>
          <w:ilvl w:val="0"/>
          <w:numId w:val="8"/>
        </w:numPr>
        <w:spacing w:after="0"/>
        <w:rPr>
          <w:sz w:val="24"/>
          <w:szCs w:val="24"/>
        </w:rPr>
      </w:pPr>
      <w:r>
        <w:rPr>
          <w:sz w:val="24"/>
          <w:szCs w:val="24"/>
        </w:rPr>
        <w:t xml:space="preserve">Structured activities that bring the whole class together to address specific topics </w:t>
      </w:r>
    </w:p>
    <w:p w:rsidR="006D522F" w:rsidRDefault="006D522F" w:rsidP="006D522F">
      <w:pPr>
        <w:numPr>
          <w:ilvl w:val="0"/>
          <w:numId w:val="8"/>
        </w:numPr>
        <w:spacing w:after="0"/>
        <w:rPr>
          <w:sz w:val="24"/>
          <w:szCs w:val="24"/>
        </w:rPr>
      </w:pPr>
      <w:r>
        <w:rPr>
          <w:sz w:val="24"/>
          <w:szCs w:val="24"/>
        </w:rPr>
        <w:t xml:space="preserve">Mentoring sessions.  </w:t>
      </w:r>
    </w:p>
    <w:p w:rsidR="006D522F" w:rsidRDefault="006D522F" w:rsidP="006D522F">
      <w:pPr>
        <w:spacing w:after="0"/>
        <w:rPr>
          <w:sz w:val="24"/>
          <w:szCs w:val="24"/>
        </w:rPr>
      </w:pPr>
    </w:p>
    <w:p w:rsidR="006D522F" w:rsidRDefault="006D522F" w:rsidP="006D522F">
      <w:pPr>
        <w:spacing w:after="0"/>
        <w:rPr>
          <w:sz w:val="24"/>
          <w:szCs w:val="24"/>
        </w:rPr>
      </w:pPr>
      <w:r>
        <w:rPr>
          <w:sz w:val="24"/>
          <w:szCs w:val="24"/>
        </w:rPr>
        <w:t xml:space="preserve">Finally, despite the primary emphasis on students’ experiences as the focus of their education, a standardized and uniform education is ensured through special learning activities that are designed to achieve all the learning objectives and competencies.  These include, among others: </w:t>
      </w:r>
    </w:p>
    <w:p w:rsidR="006D522F" w:rsidRDefault="006D522F" w:rsidP="006D522F">
      <w:pPr>
        <w:spacing w:after="0"/>
        <w:rPr>
          <w:sz w:val="24"/>
          <w:szCs w:val="24"/>
        </w:rPr>
      </w:pPr>
    </w:p>
    <w:p w:rsidR="006D522F" w:rsidRDefault="006D522F" w:rsidP="006D522F">
      <w:pPr>
        <w:numPr>
          <w:ilvl w:val="0"/>
          <w:numId w:val="9"/>
        </w:numPr>
        <w:spacing w:after="0"/>
        <w:rPr>
          <w:sz w:val="24"/>
          <w:szCs w:val="24"/>
        </w:rPr>
      </w:pPr>
      <w:r>
        <w:rPr>
          <w:sz w:val="24"/>
          <w:szCs w:val="24"/>
        </w:rPr>
        <w:t>Standardized patients</w:t>
      </w:r>
    </w:p>
    <w:p w:rsidR="006D522F" w:rsidRDefault="006D522F" w:rsidP="006D522F">
      <w:pPr>
        <w:numPr>
          <w:ilvl w:val="0"/>
          <w:numId w:val="9"/>
        </w:numPr>
        <w:spacing w:after="0"/>
        <w:rPr>
          <w:sz w:val="24"/>
          <w:szCs w:val="24"/>
        </w:rPr>
      </w:pPr>
      <w:r>
        <w:rPr>
          <w:sz w:val="24"/>
          <w:szCs w:val="24"/>
        </w:rPr>
        <w:t>Electronic simulations</w:t>
      </w:r>
    </w:p>
    <w:p w:rsidR="006D522F" w:rsidRDefault="006D522F" w:rsidP="006D522F">
      <w:pPr>
        <w:numPr>
          <w:ilvl w:val="0"/>
          <w:numId w:val="9"/>
        </w:numPr>
        <w:spacing w:after="0"/>
        <w:rPr>
          <w:sz w:val="24"/>
          <w:szCs w:val="24"/>
        </w:rPr>
      </w:pPr>
      <w:r>
        <w:rPr>
          <w:sz w:val="24"/>
          <w:szCs w:val="24"/>
        </w:rPr>
        <w:t>Case scenarios</w:t>
      </w:r>
    </w:p>
    <w:p w:rsidR="006D522F" w:rsidRDefault="006D522F" w:rsidP="006D522F">
      <w:pPr>
        <w:numPr>
          <w:ilvl w:val="0"/>
          <w:numId w:val="9"/>
        </w:numPr>
        <w:spacing w:after="0"/>
        <w:rPr>
          <w:sz w:val="24"/>
          <w:szCs w:val="24"/>
        </w:rPr>
      </w:pPr>
      <w:r>
        <w:rPr>
          <w:sz w:val="24"/>
          <w:szCs w:val="24"/>
        </w:rPr>
        <w:t>Clinical conferences</w:t>
      </w:r>
    </w:p>
    <w:p w:rsidR="006D522F" w:rsidRDefault="006D522F" w:rsidP="006D522F">
      <w:pPr>
        <w:numPr>
          <w:ilvl w:val="0"/>
          <w:numId w:val="9"/>
        </w:numPr>
        <w:spacing w:after="0"/>
        <w:rPr>
          <w:sz w:val="24"/>
          <w:szCs w:val="24"/>
        </w:rPr>
      </w:pPr>
      <w:r>
        <w:rPr>
          <w:sz w:val="24"/>
          <w:szCs w:val="24"/>
        </w:rPr>
        <w:t>Occasional lectures</w:t>
      </w:r>
    </w:p>
    <w:p w:rsidR="006D522F" w:rsidRDefault="006D522F" w:rsidP="006D522F">
      <w:pPr>
        <w:numPr>
          <w:ilvl w:val="0"/>
          <w:numId w:val="9"/>
        </w:numPr>
        <w:spacing w:after="0"/>
        <w:rPr>
          <w:sz w:val="24"/>
          <w:szCs w:val="24"/>
        </w:rPr>
      </w:pPr>
      <w:r>
        <w:rPr>
          <w:sz w:val="24"/>
          <w:szCs w:val="24"/>
        </w:rPr>
        <w:t>Problem Based Learning or Team Based Learning exercises</w:t>
      </w:r>
    </w:p>
    <w:p w:rsidR="006D522F" w:rsidRDefault="006D522F" w:rsidP="006D522F">
      <w:pPr>
        <w:spacing w:after="0"/>
        <w:rPr>
          <w:sz w:val="24"/>
          <w:szCs w:val="24"/>
        </w:rPr>
      </w:pPr>
    </w:p>
    <w:p w:rsidR="006D522F" w:rsidRDefault="006D522F" w:rsidP="006D522F">
      <w:pPr>
        <w:pStyle w:val="ListParagraph"/>
        <w:numPr>
          <w:ilvl w:val="0"/>
          <w:numId w:val="2"/>
        </w:numPr>
        <w:spacing w:after="0"/>
        <w:outlineLvl w:val="0"/>
        <w:rPr>
          <w:rFonts w:cs="Times New Roman"/>
          <w:b/>
          <w:bCs/>
          <w:sz w:val="24"/>
          <w:szCs w:val="24"/>
          <w:u w:val="single"/>
        </w:rPr>
      </w:pPr>
      <w:r>
        <w:rPr>
          <w:rFonts w:cs="Times New Roman"/>
          <w:b/>
          <w:bCs/>
          <w:sz w:val="24"/>
          <w:szCs w:val="24"/>
          <w:u w:val="single"/>
        </w:rPr>
        <w:t>Learning Activities:</w:t>
      </w:r>
    </w:p>
    <w:p w:rsidR="006D522F" w:rsidRDefault="006D522F" w:rsidP="006D522F">
      <w:pPr>
        <w:spacing w:after="0" w:line="240" w:lineRule="auto"/>
        <w:ind w:left="1080"/>
        <w:rPr>
          <w:rFonts w:cs="Times New Roman"/>
          <w:sz w:val="24"/>
          <w:szCs w:val="24"/>
        </w:rPr>
      </w:pPr>
    </w:p>
    <w:p w:rsidR="006D522F" w:rsidRDefault="006D522F" w:rsidP="006D522F">
      <w:pPr>
        <w:numPr>
          <w:ilvl w:val="0"/>
          <w:numId w:val="10"/>
        </w:numPr>
        <w:spacing w:after="0"/>
        <w:rPr>
          <w:rFonts w:cs="Times New Roman"/>
          <w:sz w:val="24"/>
          <w:szCs w:val="24"/>
        </w:rPr>
      </w:pPr>
      <w:r>
        <w:rPr>
          <w:rFonts w:cs="Times New Roman"/>
          <w:b/>
          <w:bCs/>
          <w:sz w:val="24"/>
          <w:szCs w:val="24"/>
          <w:u w:val="single"/>
        </w:rPr>
        <w:t>Lectures:</w:t>
      </w:r>
      <w:r>
        <w:rPr>
          <w:rFonts w:cs="Times New Roman"/>
          <w:sz w:val="24"/>
          <w:szCs w:val="24"/>
        </w:rPr>
        <w:t xml:space="preserve"> cover the main learning objectives of the course.  They serve to introduce topics, explain complex processes and concepts, and direct the students to focus on the essential and important aspects of a topic.  They are not meant to be comprehensive presentations of a topic and do not replace the required reading assignments.  In addition, some material on lectures may not be found in textbooks as teachers continually update their lectures with recent research findings or use resources other than the assigned textbook(s).  For these reasons, and in order to benefit from the student-instructor interaction that takes place in a lecture, students are expected to attend all lectures.</w:t>
      </w:r>
    </w:p>
    <w:p w:rsidR="006D522F" w:rsidRDefault="006D522F" w:rsidP="006D522F">
      <w:pPr>
        <w:spacing w:after="0" w:line="240" w:lineRule="auto"/>
        <w:ind w:left="1080"/>
        <w:rPr>
          <w:rFonts w:cs="Times New Roman"/>
          <w:sz w:val="24"/>
          <w:szCs w:val="24"/>
        </w:rPr>
      </w:pPr>
    </w:p>
    <w:p w:rsidR="006D522F" w:rsidRDefault="006D522F" w:rsidP="006D522F">
      <w:pPr>
        <w:numPr>
          <w:ilvl w:val="0"/>
          <w:numId w:val="10"/>
        </w:numPr>
        <w:spacing w:after="0" w:line="240" w:lineRule="auto"/>
        <w:rPr>
          <w:rFonts w:cs="Times New Roman"/>
          <w:sz w:val="24"/>
          <w:szCs w:val="24"/>
        </w:rPr>
      </w:pPr>
      <w:r>
        <w:rPr>
          <w:rFonts w:cs="Times New Roman"/>
          <w:b/>
          <w:bCs/>
          <w:sz w:val="24"/>
          <w:szCs w:val="24"/>
          <w:u w:val="single"/>
        </w:rPr>
        <w:t>Laboratory sessions:</w:t>
      </w:r>
      <w:r>
        <w:rPr>
          <w:rFonts w:cs="Times New Roman"/>
          <w:sz w:val="24"/>
          <w:szCs w:val="24"/>
        </w:rPr>
        <w:t xml:space="preserve"> these sessions aim to enable the student to:</w:t>
      </w:r>
    </w:p>
    <w:p w:rsidR="006D522F" w:rsidRDefault="006D522F" w:rsidP="006D522F">
      <w:pPr>
        <w:spacing w:after="0" w:line="240" w:lineRule="auto"/>
        <w:rPr>
          <w:rFonts w:cs="Times New Roman"/>
          <w:sz w:val="24"/>
          <w:szCs w:val="24"/>
        </w:rPr>
      </w:pPr>
    </w:p>
    <w:p w:rsidR="006D522F" w:rsidRDefault="006D522F" w:rsidP="006D522F">
      <w:pPr>
        <w:numPr>
          <w:ilvl w:val="1"/>
          <w:numId w:val="10"/>
        </w:numPr>
        <w:spacing w:after="0"/>
        <w:rPr>
          <w:rFonts w:cs="Times New Roman"/>
          <w:sz w:val="24"/>
          <w:szCs w:val="24"/>
        </w:rPr>
      </w:pPr>
      <w:r>
        <w:rPr>
          <w:rFonts w:cs="Times New Roman"/>
          <w:sz w:val="24"/>
          <w:szCs w:val="24"/>
        </w:rPr>
        <w:t xml:space="preserve">Learn the anatomy of the human body through dissection and through examining </w:t>
      </w:r>
      <w:proofErr w:type="spellStart"/>
      <w:r>
        <w:rPr>
          <w:rFonts w:cs="Times New Roman"/>
          <w:sz w:val="24"/>
          <w:szCs w:val="24"/>
        </w:rPr>
        <w:t>prosected</w:t>
      </w:r>
      <w:proofErr w:type="spellEnd"/>
      <w:r>
        <w:rPr>
          <w:rFonts w:cs="Times New Roman"/>
          <w:sz w:val="24"/>
          <w:szCs w:val="24"/>
        </w:rPr>
        <w:t xml:space="preserve"> specimens</w:t>
      </w:r>
    </w:p>
    <w:p w:rsidR="006D522F" w:rsidRDefault="006D522F" w:rsidP="006D522F">
      <w:pPr>
        <w:numPr>
          <w:ilvl w:val="1"/>
          <w:numId w:val="10"/>
        </w:numPr>
        <w:spacing w:after="0"/>
        <w:rPr>
          <w:rFonts w:cs="Times New Roman"/>
          <w:sz w:val="24"/>
          <w:szCs w:val="24"/>
        </w:rPr>
      </w:pPr>
      <w:r>
        <w:rPr>
          <w:rFonts w:cs="Times New Roman"/>
          <w:sz w:val="24"/>
          <w:szCs w:val="24"/>
        </w:rPr>
        <w:t>Analyze a histological or pathological slides or virtual images and describe the various components of cells, tissues and organs</w:t>
      </w:r>
    </w:p>
    <w:p w:rsidR="006D522F" w:rsidRDefault="006D522F" w:rsidP="006D522F">
      <w:pPr>
        <w:numPr>
          <w:ilvl w:val="1"/>
          <w:numId w:val="10"/>
        </w:numPr>
        <w:spacing w:after="0"/>
        <w:rPr>
          <w:rFonts w:cs="Times New Roman"/>
          <w:sz w:val="24"/>
          <w:szCs w:val="24"/>
        </w:rPr>
      </w:pPr>
      <w:r>
        <w:rPr>
          <w:rFonts w:cs="Times New Roman"/>
          <w:sz w:val="24"/>
          <w:szCs w:val="24"/>
        </w:rPr>
        <w:t>Conduct experiments or procedures/techniques illustrating principles being learned in the lectures or readings.</w:t>
      </w:r>
    </w:p>
    <w:p w:rsidR="006D522F" w:rsidRDefault="006D522F" w:rsidP="006D522F">
      <w:pPr>
        <w:numPr>
          <w:ilvl w:val="1"/>
          <w:numId w:val="10"/>
        </w:numPr>
        <w:spacing w:after="0"/>
        <w:rPr>
          <w:rFonts w:cs="Times New Roman"/>
          <w:sz w:val="24"/>
          <w:szCs w:val="24"/>
        </w:rPr>
      </w:pPr>
      <w:r>
        <w:rPr>
          <w:rFonts w:cs="Times New Roman"/>
          <w:sz w:val="24"/>
          <w:szCs w:val="24"/>
        </w:rPr>
        <w:t xml:space="preserve">Analyze results of experiments </w:t>
      </w:r>
    </w:p>
    <w:p w:rsidR="006D522F" w:rsidRDefault="006D522F" w:rsidP="006D522F">
      <w:pPr>
        <w:numPr>
          <w:ilvl w:val="1"/>
          <w:numId w:val="10"/>
        </w:numPr>
        <w:spacing w:after="0"/>
        <w:rPr>
          <w:rFonts w:cs="Times New Roman"/>
          <w:sz w:val="24"/>
          <w:szCs w:val="24"/>
        </w:rPr>
      </w:pPr>
      <w:r>
        <w:rPr>
          <w:rFonts w:cs="Times New Roman"/>
          <w:sz w:val="24"/>
          <w:szCs w:val="24"/>
        </w:rPr>
        <w:t>Correlate laboratory findings with clinical findings and reasoning</w:t>
      </w:r>
    </w:p>
    <w:p w:rsidR="006D522F" w:rsidRDefault="006D522F" w:rsidP="006D522F">
      <w:pPr>
        <w:spacing w:after="0" w:line="240" w:lineRule="auto"/>
        <w:ind w:left="1080"/>
        <w:rPr>
          <w:rFonts w:cs="Times New Roman"/>
          <w:sz w:val="24"/>
          <w:szCs w:val="24"/>
        </w:rPr>
      </w:pPr>
    </w:p>
    <w:p w:rsidR="006D522F" w:rsidRDefault="006D522F" w:rsidP="006D522F">
      <w:pPr>
        <w:numPr>
          <w:ilvl w:val="0"/>
          <w:numId w:val="10"/>
        </w:numPr>
        <w:spacing w:after="0"/>
        <w:rPr>
          <w:rFonts w:cs="Times New Roman"/>
          <w:sz w:val="24"/>
          <w:szCs w:val="24"/>
        </w:rPr>
      </w:pPr>
      <w:r>
        <w:rPr>
          <w:rFonts w:cs="Times New Roman"/>
          <w:b/>
          <w:bCs/>
          <w:sz w:val="24"/>
          <w:szCs w:val="24"/>
          <w:u w:val="single"/>
        </w:rPr>
        <w:t>Team based learning (TBL) sessions:</w:t>
      </w:r>
      <w:r>
        <w:rPr>
          <w:rFonts w:cs="Times New Roman"/>
          <w:sz w:val="24"/>
          <w:szCs w:val="24"/>
        </w:rPr>
        <w:t xml:space="preserve">  engage the students in team work that aims to solve complex, real, and usually clinically-oriented or experimental problems related to the topics being studied.  Students apply the knowledge that they have gained through lectures and readings to solve these problems.  TBL exercises may integrate basic and clinical sciences and cover all disciplines including molecular biology, </w:t>
      </w:r>
      <w:proofErr w:type="spellStart"/>
      <w:r>
        <w:rPr>
          <w:rFonts w:cs="Times New Roman"/>
          <w:sz w:val="24"/>
          <w:szCs w:val="24"/>
        </w:rPr>
        <w:t>genetics</w:t>
      </w:r>
      <w:proofErr w:type="gramStart"/>
      <w:r>
        <w:rPr>
          <w:rFonts w:cs="Times New Roman"/>
          <w:sz w:val="24"/>
          <w:szCs w:val="24"/>
        </w:rPr>
        <w:t>,histology</w:t>
      </w:r>
      <w:proofErr w:type="spellEnd"/>
      <w:proofErr w:type="gramEnd"/>
      <w:r>
        <w:rPr>
          <w:rFonts w:cs="Times New Roman"/>
          <w:sz w:val="24"/>
          <w:szCs w:val="24"/>
        </w:rPr>
        <w:t>, pathology, physiology, pathophysiology, pharmacology and clinical medicine.  Students are expected to come prepared having read the assignments and reviewed the relevant lectures.  In class, the TBL process involves 3 activities: an initial individual test to ensure that students have prepared their material; this is followed by having the team of students take the same tests with immediate feedback to their responses.  The last phase is the bulk of the exercise where students are provided with problems/cases and are required to provide specific answers. This process requires interaction within teams, among teams and between teams and the instructor.</w:t>
      </w:r>
    </w:p>
    <w:p w:rsidR="006D522F" w:rsidRDefault="006D522F" w:rsidP="006D522F">
      <w:pPr>
        <w:spacing w:after="0"/>
        <w:ind w:left="1080"/>
        <w:rPr>
          <w:rFonts w:cs="Times New Roman"/>
          <w:sz w:val="24"/>
          <w:szCs w:val="24"/>
        </w:rPr>
      </w:pPr>
    </w:p>
    <w:p w:rsidR="006D522F" w:rsidRDefault="006D522F" w:rsidP="006D522F">
      <w:pPr>
        <w:numPr>
          <w:ilvl w:val="0"/>
          <w:numId w:val="10"/>
        </w:numPr>
        <w:spacing w:after="0"/>
        <w:rPr>
          <w:rFonts w:cs="Times New Roman"/>
          <w:sz w:val="24"/>
          <w:szCs w:val="24"/>
          <w:u w:val="single"/>
        </w:rPr>
      </w:pPr>
      <w:r>
        <w:rPr>
          <w:rFonts w:cs="Times New Roman"/>
          <w:b/>
          <w:bCs/>
          <w:sz w:val="24"/>
          <w:szCs w:val="24"/>
          <w:u w:val="single"/>
        </w:rPr>
        <w:t>Case or problem-based learning</w:t>
      </w:r>
      <w:r>
        <w:rPr>
          <w:rFonts w:cs="Times New Roman"/>
          <w:b/>
          <w:bCs/>
          <w:sz w:val="24"/>
          <w:szCs w:val="24"/>
        </w:rPr>
        <w:t>:</w:t>
      </w:r>
      <w:r>
        <w:rPr>
          <w:rFonts w:cs="Times New Roman"/>
          <w:sz w:val="24"/>
          <w:szCs w:val="24"/>
        </w:rPr>
        <w:t xml:space="preserve"> like TBL, involve small group work (sometimes large groups are involved), and clinically based cases and scenarios or experimental studies that require reasoning skills, but involve more open ended questions and discussion.  Students are provided the cases and questions in advance and are expected to come the session prepared to answer the questions and engage in discussion.</w:t>
      </w:r>
    </w:p>
    <w:p w:rsidR="006D522F" w:rsidRDefault="006D522F" w:rsidP="006D522F">
      <w:pPr>
        <w:spacing w:after="0"/>
        <w:rPr>
          <w:rFonts w:cs="Times New Roman"/>
          <w:sz w:val="24"/>
          <w:szCs w:val="24"/>
          <w:u w:val="single"/>
        </w:rPr>
      </w:pPr>
    </w:p>
    <w:p w:rsidR="006D522F" w:rsidRDefault="006D522F" w:rsidP="006D522F">
      <w:pPr>
        <w:numPr>
          <w:ilvl w:val="0"/>
          <w:numId w:val="10"/>
        </w:numPr>
        <w:spacing w:after="0"/>
        <w:rPr>
          <w:rFonts w:cs="Times New Roman"/>
          <w:sz w:val="24"/>
          <w:szCs w:val="24"/>
          <w:u w:val="single"/>
        </w:rPr>
      </w:pPr>
      <w:r>
        <w:rPr>
          <w:rFonts w:cs="Times New Roman"/>
          <w:b/>
          <w:bCs/>
          <w:sz w:val="24"/>
          <w:szCs w:val="24"/>
          <w:u w:val="single"/>
        </w:rPr>
        <w:t xml:space="preserve">Clinical Skills </w:t>
      </w:r>
      <w:proofErr w:type="spellStart"/>
      <w:r>
        <w:rPr>
          <w:rFonts w:cs="Times New Roman"/>
          <w:b/>
          <w:bCs/>
          <w:sz w:val="24"/>
          <w:szCs w:val="24"/>
          <w:u w:val="single"/>
        </w:rPr>
        <w:t>sessions</w:t>
      </w:r>
      <w:proofErr w:type="gramStart"/>
      <w:r>
        <w:rPr>
          <w:rFonts w:cs="Times New Roman"/>
          <w:b/>
          <w:bCs/>
          <w:sz w:val="24"/>
          <w:szCs w:val="24"/>
          <w:u w:val="single"/>
        </w:rPr>
        <w:t>:</w:t>
      </w:r>
      <w:r>
        <w:rPr>
          <w:rFonts w:cs="Times New Roman"/>
          <w:sz w:val="24"/>
          <w:szCs w:val="24"/>
        </w:rPr>
        <w:t>These</w:t>
      </w:r>
      <w:proofErr w:type="spellEnd"/>
      <w:proofErr w:type="gramEnd"/>
      <w:r>
        <w:rPr>
          <w:rFonts w:cs="Times New Roman"/>
          <w:sz w:val="24"/>
          <w:szCs w:val="24"/>
        </w:rPr>
        <w:t xml:space="preserve"> are hands on sessions in which students learn the art of history taking, physical examination, communicating with the patient and clinical reasoning.  Students are also exposed to various diagnostic procedures (e.g., radiography, blood withdrawal).  Reading material is distributed ahead of the session for students to prepare.</w:t>
      </w:r>
    </w:p>
    <w:p w:rsidR="006D522F" w:rsidRDefault="006D522F" w:rsidP="006D522F">
      <w:pPr>
        <w:spacing w:after="0"/>
        <w:rPr>
          <w:rFonts w:cs="Times New Roman"/>
          <w:sz w:val="24"/>
          <w:szCs w:val="24"/>
          <w:u w:val="single"/>
        </w:rPr>
      </w:pPr>
    </w:p>
    <w:p w:rsidR="006D522F" w:rsidRDefault="006D522F" w:rsidP="006D522F">
      <w:pPr>
        <w:numPr>
          <w:ilvl w:val="0"/>
          <w:numId w:val="10"/>
        </w:numPr>
        <w:spacing w:after="0"/>
        <w:rPr>
          <w:rFonts w:cs="Times New Roman"/>
          <w:b/>
          <w:bCs/>
          <w:sz w:val="24"/>
          <w:szCs w:val="24"/>
          <w:u w:val="single"/>
        </w:rPr>
      </w:pPr>
      <w:r>
        <w:rPr>
          <w:rFonts w:cs="Times New Roman"/>
          <w:b/>
          <w:bCs/>
          <w:sz w:val="24"/>
          <w:szCs w:val="24"/>
          <w:u w:val="single"/>
        </w:rPr>
        <w:t xml:space="preserve">Reflective discussion sessions:  </w:t>
      </w:r>
      <w:r>
        <w:rPr>
          <w:rFonts w:cs="Times New Roman"/>
          <w:sz w:val="24"/>
          <w:szCs w:val="24"/>
        </w:rPr>
        <w:t>conducted in small groups (or occasionally in large groups) these sessions allow student to reflect on experiences, events and ideas, express opinions, and argue and defend positions.  This approach is particularly employed in sessions related to ethics, humanities, and personal and professional development</w:t>
      </w:r>
    </w:p>
    <w:p w:rsidR="006D522F" w:rsidRDefault="006D522F" w:rsidP="006D522F">
      <w:pPr>
        <w:spacing w:after="0"/>
        <w:ind w:left="1080"/>
        <w:rPr>
          <w:rFonts w:cs="Times New Roman"/>
          <w:b/>
          <w:bCs/>
          <w:sz w:val="24"/>
          <w:szCs w:val="24"/>
          <w:u w:val="single"/>
        </w:rPr>
      </w:pPr>
    </w:p>
    <w:p w:rsidR="006D522F" w:rsidRDefault="006D522F" w:rsidP="006D522F">
      <w:pPr>
        <w:numPr>
          <w:ilvl w:val="0"/>
          <w:numId w:val="10"/>
        </w:numPr>
        <w:spacing w:after="0"/>
        <w:rPr>
          <w:rFonts w:cs="Times New Roman"/>
          <w:b/>
          <w:bCs/>
          <w:sz w:val="24"/>
          <w:szCs w:val="24"/>
          <w:u w:val="single"/>
        </w:rPr>
      </w:pPr>
      <w:r>
        <w:rPr>
          <w:rFonts w:cs="Times New Roman"/>
          <w:b/>
          <w:bCs/>
          <w:sz w:val="24"/>
          <w:szCs w:val="24"/>
          <w:u w:val="single"/>
        </w:rPr>
        <w:t xml:space="preserve">Teaching Rounds:  </w:t>
      </w:r>
      <w:r>
        <w:rPr>
          <w:rFonts w:cs="Times New Roman"/>
          <w:sz w:val="24"/>
          <w:szCs w:val="24"/>
        </w:rPr>
        <w:t xml:space="preserve">Students rounding on the wards conduct rounds with the resident in charge and with the attending physician in </w:t>
      </w:r>
      <w:proofErr w:type="gramStart"/>
      <w:r>
        <w:rPr>
          <w:rFonts w:cs="Times New Roman"/>
          <w:sz w:val="24"/>
          <w:szCs w:val="24"/>
        </w:rPr>
        <w:t>which</w:t>
      </w:r>
      <w:proofErr w:type="gramEnd"/>
      <w:r>
        <w:rPr>
          <w:rFonts w:cs="Times New Roman"/>
          <w:sz w:val="24"/>
          <w:szCs w:val="24"/>
        </w:rPr>
        <w:t xml:space="preserve"> they present and discuss their patients focusing on their problems, the diagnostic and management plan followed and the bases for their decisions that integrate scientific, social, economic, cultural and other factors.  Students are required to prepare for these teaching rounds and may be asked to make presentations about specific topics.</w:t>
      </w:r>
    </w:p>
    <w:p w:rsidR="006D522F" w:rsidRDefault="006D522F" w:rsidP="006D522F">
      <w:pPr>
        <w:spacing w:after="0"/>
        <w:ind w:left="1080"/>
        <w:rPr>
          <w:rFonts w:cs="Times New Roman"/>
          <w:b/>
          <w:bCs/>
          <w:sz w:val="24"/>
          <w:szCs w:val="24"/>
          <w:u w:val="single"/>
        </w:rPr>
      </w:pPr>
    </w:p>
    <w:p w:rsidR="006D522F" w:rsidRDefault="006D522F" w:rsidP="006D522F">
      <w:pPr>
        <w:numPr>
          <w:ilvl w:val="0"/>
          <w:numId w:val="10"/>
        </w:numPr>
        <w:spacing w:after="0"/>
        <w:rPr>
          <w:rFonts w:cs="Times New Roman"/>
          <w:sz w:val="24"/>
          <w:szCs w:val="24"/>
        </w:rPr>
      </w:pPr>
      <w:r>
        <w:rPr>
          <w:rFonts w:cs="Times New Roman"/>
          <w:b/>
          <w:bCs/>
          <w:sz w:val="24"/>
          <w:szCs w:val="24"/>
          <w:u w:val="single"/>
        </w:rPr>
        <w:t>One-on-one teaching</w:t>
      </w:r>
      <w:r>
        <w:rPr>
          <w:rFonts w:cs="Times New Roman"/>
          <w:sz w:val="24"/>
          <w:szCs w:val="24"/>
        </w:rPr>
        <w:t>:  in ambulatory settings and on the wards, students interact with attending physicians and residents in one-on-one encounters during which patients are presented and discussed.</w:t>
      </w:r>
    </w:p>
    <w:p w:rsidR="006D522F" w:rsidRDefault="006D522F" w:rsidP="006D522F">
      <w:pPr>
        <w:spacing w:after="0"/>
        <w:ind w:left="1080"/>
        <w:rPr>
          <w:rFonts w:cs="Times New Roman"/>
          <w:sz w:val="24"/>
          <w:szCs w:val="24"/>
        </w:rPr>
      </w:pPr>
    </w:p>
    <w:p w:rsidR="006D522F" w:rsidRDefault="006D522F" w:rsidP="006D522F">
      <w:pPr>
        <w:numPr>
          <w:ilvl w:val="0"/>
          <w:numId w:val="10"/>
        </w:numPr>
        <w:spacing w:after="0"/>
        <w:rPr>
          <w:rFonts w:cs="Times New Roman"/>
          <w:sz w:val="24"/>
          <w:szCs w:val="24"/>
        </w:rPr>
      </w:pPr>
      <w:r>
        <w:rPr>
          <w:rFonts w:cs="Times New Roman"/>
          <w:b/>
          <w:bCs/>
          <w:sz w:val="24"/>
          <w:szCs w:val="24"/>
          <w:u w:val="single"/>
        </w:rPr>
        <w:t xml:space="preserve">Clinical Conferences: </w:t>
      </w:r>
      <w:r>
        <w:rPr>
          <w:rFonts w:cs="Times New Roman"/>
          <w:sz w:val="24"/>
          <w:szCs w:val="24"/>
        </w:rPr>
        <w:t>focus on presentations of patients seen on the ward or in ambulatory settings or medical topics: include OPD conferences, mortality and morbidity conferences, grand rounds…</w:t>
      </w:r>
    </w:p>
    <w:p w:rsidR="001D24C6" w:rsidRDefault="001D24C6"/>
    <w:sectPr w:rsidR="001D2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D06"/>
    <w:multiLevelType w:val="hybridMultilevel"/>
    <w:tmpl w:val="A0FEB58A"/>
    <w:lvl w:ilvl="0" w:tplc="0409000F">
      <w:start w:val="1"/>
      <w:numFmt w:val="decimal"/>
      <w:lvlText w:val="%1."/>
      <w:lvlJc w:val="left"/>
      <w:pPr>
        <w:ind w:left="1080" w:hanging="360"/>
      </w:pPr>
      <w:rPr>
        <w:rFonts w:cs="Times New Roman"/>
        <w:b/>
      </w:rPr>
    </w:lvl>
    <w:lvl w:ilvl="1" w:tplc="04090003">
      <w:start w:val="1"/>
      <w:numFmt w:val="bullet"/>
      <w:lvlText w:val="o"/>
      <w:lvlJc w:val="left"/>
      <w:pPr>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14863B9"/>
    <w:multiLevelType w:val="hybridMultilevel"/>
    <w:tmpl w:val="EFF2A40A"/>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
    <w:nsid w:val="3B766C50"/>
    <w:multiLevelType w:val="hybridMultilevel"/>
    <w:tmpl w:val="BF3836C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FE27A31"/>
    <w:multiLevelType w:val="hybridMultilevel"/>
    <w:tmpl w:val="2B2CB1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2E47FC"/>
    <w:multiLevelType w:val="hybridMultilevel"/>
    <w:tmpl w:val="4CF0F1A4"/>
    <w:lvl w:ilvl="0" w:tplc="0409000F">
      <w:start w:val="1"/>
      <w:numFmt w:val="decimal"/>
      <w:lvlText w:val="%1."/>
      <w:lvlJc w:val="left"/>
      <w:pPr>
        <w:tabs>
          <w:tab w:val="num" w:pos="720"/>
        </w:tabs>
        <w:ind w:left="720" w:hanging="360"/>
      </w:pPr>
    </w:lvl>
    <w:lvl w:ilvl="1" w:tplc="CB82EA9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3F60541"/>
    <w:multiLevelType w:val="hybridMultilevel"/>
    <w:tmpl w:val="8E4EE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A236726"/>
    <w:multiLevelType w:val="hybridMultilevel"/>
    <w:tmpl w:val="C172EE64"/>
    <w:lvl w:ilvl="0" w:tplc="04090001">
      <w:start w:val="1"/>
      <w:numFmt w:val="bullet"/>
      <w:lvlText w:val=""/>
      <w:lvlJc w:val="left"/>
      <w:pPr>
        <w:tabs>
          <w:tab w:val="num" w:pos="2400"/>
        </w:tabs>
        <w:ind w:left="240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nsid w:val="4D987E84"/>
    <w:multiLevelType w:val="hybridMultilevel"/>
    <w:tmpl w:val="B5BA17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0FA4BD4"/>
    <w:multiLevelType w:val="hybridMultilevel"/>
    <w:tmpl w:val="ABE29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5343F13"/>
    <w:multiLevelType w:val="hybridMultilevel"/>
    <w:tmpl w:val="1BD89494"/>
    <w:lvl w:ilvl="0" w:tplc="8AD8EE42">
      <w:start w:val="1"/>
      <w:numFmt w:val="decimal"/>
      <w:lvlText w:val="%1."/>
      <w:lvlJc w:val="left"/>
      <w:pPr>
        <w:tabs>
          <w:tab w:val="num" w:pos="720"/>
        </w:tabs>
        <w:ind w:left="720" w:hanging="360"/>
      </w:pPr>
    </w:lvl>
    <w:lvl w:ilvl="1" w:tplc="FA4CDB3A">
      <w:start w:val="1"/>
      <w:numFmt w:val="lowerLetter"/>
      <w:lvlText w:val="%2."/>
      <w:lvlJc w:val="left"/>
      <w:pPr>
        <w:tabs>
          <w:tab w:val="num" w:pos="1440"/>
        </w:tabs>
        <w:ind w:left="1440" w:hanging="360"/>
      </w:pPr>
    </w:lvl>
    <w:lvl w:ilvl="2" w:tplc="FA4847F2">
      <w:start w:val="1"/>
      <w:numFmt w:val="lowerRoman"/>
      <w:lvlText w:val="%3."/>
      <w:lvlJc w:val="right"/>
      <w:pPr>
        <w:tabs>
          <w:tab w:val="num" w:pos="2160"/>
        </w:tabs>
        <w:ind w:left="2160" w:hanging="180"/>
      </w:pPr>
    </w:lvl>
    <w:lvl w:ilvl="3" w:tplc="75B88CFE">
      <w:start w:val="1"/>
      <w:numFmt w:val="decimal"/>
      <w:lvlText w:val="%4."/>
      <w:lvlJc w:val="left"/>
      <w:pPr>
        <w:tabs>
          <w:tab w:val="num" w:pos="2880"/>
        </w:tabs>
        <w:ind w:left="2880" w:hanging="360"/>
      </w:pPr>
    </w:lvl>
    <w:lvl w:ilvl="4" w:tplc="956CF258">
      <w:start w:val="1"/>
      <w:numFmt w:val="lowerLetter"/>
      <w:lvlText w:val="%5."/>
      <w:lvlJc w:val="left"/>
      <w:pPr>
        <w:tabs>
          <w:tab w:val="num" w:pos="3600"/>
        </w:tabs>
        <w:ind w:left="3600" w:hanging="360"/>
      </w:pPr>
    </w:lvl>
    <w:lvl w:ilvl="5" w:tplc="AA4A747A">
      <w:start w:val="1"/>
      <w:numFmt w:val="lowerRoman"/>
      <w:lvlText w:val="%6."/>
      <w:lvlJc w:val="right"/>
      <w:pPr>
        <w:tabs>
          <w:tab w:val="num" w:pos="4320"/>
        </w:tabs>
        <w:ind w:left="4320" w:hanging="180"/>
      </w:pPr>
    </w:lvl>
    <w:lvl w:ilvl="6" w:tplc="0516655E">
      <w:start w:val="1"/>
      <w:numFmt w:val="decimal"/>
      <w:lvlText w:val="%7."/>
      <w:lvlJc w:val="left"/>
      <w:pPr>
        <w:tabs>
          <w:tab w:val="num" w:pos="5040"/>
        </w:tabs>
        <w:ind w:left="5040" w:hanging="360"/>
      </w:pPr>
    </w:lvl>
    <w:lvl w:ilvl="7" w:tplc="22382878">
      <w:start w:val="1"/>
      <w:numFmt w:val="lowerLetter"/>
      <w:lvlText w:val="%8."/>
      <w:lvlJc w:val="left"/>
      <w:pPr>
        <w:tabs>
          <w:tab w:val="num" w:pos="5760"/>
        </w:tabs>
        <w:ind w:left="5760" w:hanging="360"/>
      </w:pPr>
    </w:lvl>
    <w:lvl w:ilvl="8" w:tplc="F30A6014">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22F"/>
    <w:rsid w:val="001D24C6"/>
    <w:rsid w:val="004C6395"/>
    <w:rsid w:val="006D522F"/>
    <w:rsid w:val="00E32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22F"/>
    <w:rPr>
      <w:rFonts w:eastAsiaTheme="minorEastAsia"/>
    </w:rPr>
  </w:style>
  <w:style w:type="paragraph" w:styleId="Heading1">
    <w:name w:val="heading 1"/>
    <w:basedOn w:val="Normal"/>
    <w:next w:val="Normal"/>
    <w:link w:val="Heading1Char"/>
    <w:autoRedefine/>
    <w:uiPriority w:val="9"/>
    <w:qFormat/>
    <w:rsid w:val="004C6395"/>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4C6395"/>
    <w:pPr>
      <w:keepNext/>
      <w:keepLines/>
      <w:ind w:left="360" w:hanging="360"/>
      <w:contextualSpacing/>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C6395"/>
    <w:pPr>
      <w:keepNext/>
      <w:keepLines/>
      <w:contextualSpacing/>
      <w:outlineLvl w:val="2"/>
    </w:pPr>
    <w:rPr>
      <w:rFonts w:asciiTheme="majorBidi" w:eastAsiaTheme="majorEastAsia" w:hAnsiTheme="majorBidi" w:cstheme="majorBidi"/>
      <w:b/>
      <w:bCs/>
      <w:szCs w:val="24"/>
      <w:shd w:val="clear" w:color="auto" w:fill="FFFFFF"/>
    </w:rPr>
  </w:style>
  <w:style w:type="paragraph" w:styleId="Heading4">
    <w:name w:val="heading 4"/>
    <w:basedOn w:val="Normal"/>
    <w:next w:val="Normal"/>
    <w:link w:val="Heading4Char"/>
    <w:autoRedefine/>
    <w:uiPriority w:val="9"/>
    <w:unhideWhenUsed/>
    <w:qFormat/>
    <w:rsid w:val="004C6395"/>
    <w:pPr>
      <w:keepNext/>
      <w:keepLines/>
      <w:contextualSpacing/>
      <w:outlineLvl w:val="3"/>
    </w:pPr>
    <w:rPr>
      <w:rFonts w:eastAsiaTheme="majorEastAsia" w:cstheme="majorBidi"/>
      <w:b/>
      <w:bCs/>
      <w:iCs/>
      <w:szCs w:val="26"/>
    </w:rPr>
  </w:style>
  <w:style w:type="paragraph" w:styleId="Heading5">
    <w:name w:val="heading 5"/>
    <w:basedOn w:val="Normal"/>
    <w:next w:val="Normal"/>
    <w:link w:val="Heading5Char"/>
    <w:uiPriority w:val="9"/>
    <w:semiHidden/>
    <w:unhideWhenUsed/>
    <w:qFormat/>
    <w:rsid w:val="004C6395"/>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6395"/>
    <w:pPr>
      <w:keepNext/>
      <w:keepLines/>
      <w:contextualSpacing/>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4C6395"/>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C63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63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C639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C6395"/>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uiPriority w:val="9"/>
    <w:rsid w:val="004C6395"/>
    <w:rPr>
      <w:rFonts w:ascii="Times New Roman" w:eastAsiaTheme="majorEastAsia" w:hAnsi="Times New Roman" w:cstheme="majorBidi"/>
      <w:b/>
      <w:bCs/>
      <w:iCs/>
      <w:sz w:val="24"/>
      <w:szCs w:val="26"/>
    </w:rPr>
  </w:style>
  <w:style w:type="character" w:customStyle="1" w:styleId="Heading5Char">
    <w:name w:val="Heading 5 Char"/>
    <w:basedOn w:val="DefaultParagraphFont"/>
    <w:link w:val="Heading5"/>
    <w:uiPriority w:val="9"/>
    <w:semiHidden/>
    <w:rsid w:val="004C6395"/>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4C6395"/>
    <w:rPr>
      <w:rFonts w:ascii="Times New Roman" w:eastAsiaTheme="majorEastAsia" w:hAnsi="Times New Roman" w:cstheme="majorBidi"/>
      <w:iCs/>
      <w:sz w:val="24"/>
      <w:u w:val="single"/>
    </w:rPr>
  </w:style>
  <w:style w:type="character" w:customStyle="1" w:styleId="Heading7Char">
    <w:name w:val="Heading 7 Char"/>
    <w:basedOn w:val="DefaultParagraphFont"/>
    <w:link w:val="Heading7"/>
    <w:uiPriority w:val="9"/>
    <w:semiHidden/>
    <w:rsid w:val="004C6395"/>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4C63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639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C6395"/>
    <w:rPr>
      <w:b/>
      <w:bCs/>
      <w:color w:val="5B9BD5" w:themeColor="accent1"/>
      <w:sz w:val="18"/>
      <w:szCs w:val="18"/>
    </w:rPr>
  </w:style>
  <w:style w:type="paragraph" w:styleId="Title">
    <w:name w:val="Title"/>
    <w:basedOn w:val="Normal"/>
    <w:next w:val="Normal"/>
    <w:link w:val="TitleChar"/>
    <w:uiPriority w:val="10"/>
    <w:qFormat/>
    <w:rsid w:val="004C63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639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C6395"/>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4C639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C6395"/>
    <w:rPr>
      <w:b/>
      <w:bCs/>
    </w:rPr>
  </w:style>
  <w:style w:type="character" w:styleId="Emphasis">
    <w:name w:val="Emphasis"/>
    <w:basedOn w:val="DefaultParagraphFont"/>
    <w:uiPriority w:val="20"/>
    <w:qFormat/>
    <w:rsid w:val="004C6395"/>
    <w:rPr>
      <w:i/>
      <w:iCs/>
    </w:rPr>
  </w:style>
  <w:style w:type="paragraph" w:styleId="NoSpacing">
    <w:name w:val="No Spacing"/>
    <w:link w:val="NoSpacingChar"/>
    <w:uiPriority w:val="1"/>
    <w:qFormat/>
    <w:rsid w:val="004C6395"/>
    <w:pPr>
      <w:bidi/>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C6395"/>
    <w:rPr>
      <w:rFonts w:ascii="Times New Roman" w:hAnsi="Times New Roman"/>
      <w:sz w:val="24"/>
    </w:rPr>
  </w:style>
  <w:style w:type="paragraph" w:styleId="ListParagraph">
    <w:name w:val="List Paragraph"/>
    <w:basedOn w:val="Normal"/>
    <w:uiPriority w:val="34"/>
    <w:qFormat/>
    <w:rsid w:val="004C6395"/>
    <w:pPr>
      <w:ind w:left="720"/>
      <w:contextualSpacing/>
    </w:pPr>
  </w:style>
  <w:style w:type="paragraph" w:styleId="Quote">
    <w:name w:val="Quote"/>
    <w:basedOn w:val="Normal"/>
    <w:next w:val="Normal"/>
    <w:link w:val="QuoteChar"/>
    <w:uiPriority w:val="29"/>
    <w:qFormat/>
    <w:rsid w:val="004C6395"/>
    <w:rPr>
      <w:i/>
      <w:iCs/>
      <w:color w:val="000000" w:themeColor="text1"/>
    </w:rPr>
  </w:style>
  <w:style w:type="character" w:customStyle="1" w:styleId="QuoteChar">
    <w:name w:val="Quote Char"/>
    <w:basedOn w:val="DefaultParagraphFont"/>
    <w:link w:val="Quote"/>
    <w:uiPriority w:val="29"/>
    <w:rsid w:val="004C6395"/>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4C63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6395"/>
    <w:rPr>
      <w:rFonts w:ascii="Times New Roman" w:hAnsi="Times New Roman"/>
      <w:b/>
      <w:bCs/>
      <w:i/>
      <w:iCs/>
      <w:color w:val="5B9BD5" w:themeColor="accent1"/>
      <w:sz w:val="24"/>
    </w:rPr>
  </w:style>
  <w:style w:type="character" w:styleId="SubtleEmphasis">
    <w:name w:val="Subtle Emphasis"/>
    <w:basedOn w:val="DefaultParagraphFont"/>
    <w:uiPriority w:val="19"/>
    <w:qFormat/>
    <w:rsid w:val="004C6395"/>
    <w:rPr>
      <w:i/>
      <w:iCs/>
      <w:color w:val="808080" w:themeColor="text1" w:themeTint="7F"/>
    </w:rPr>
  </w:style>
  <w:style w:type="character" w:styleId="IntenseEmphasis">
    <w:name w:val="Intense Emphasis"/>
    <w:uiPriority w:val="21"/>
    <w:qFormat/>
    <w:rsid w:val="004C6395"/>
    <w:rPr>
      <w:b/>
      <w:bCs/>
      <w:i/>
      <w:iCs/>
      <w:color w:val="5B9BD5" w:themeColor="accent1"/>
    </w:rPr>
  </w:style>
  <w:style w:type="character" w:styleId="SubtleReference">
    <w:name w:val="Subtle Reference"/>
    <w:basedOn w:val="DefaultParagraphFont"/>
    <w:uiPriority w:val="31"/>
    <w:qFormat/>
    <w:rsid w:val="004C6395"/>
    <w:rPr>
      <w:smallCaps/>
      <w:color w:val="ED7D31" w:themeColor="accent2"/>
      <w:u w:val="single"/>
    </w:rPr>
  </w:style>
  <w:style w:type="character" w:styleId="IntenseReference">
    <w:name w:val="Intense Reference"/>
    <w:uiPriority w:val="32"/>
    <w:qFormat/>
    <w:rsid w:val="004C6395"/>
    <w:rPr>
      <w:b/>
      <w:bCs/>
      <w:smallCaps/>
      <w:color w:val="ED7D31" w:themeColor="accent2"/>
      <w:spacing w:val="5"/>
      <w:u w:val="single"/>
    </w:rPr>
  </w:style>
  <w:style w:type="character" w:styleId="BookTitle">
    <w:name w:val="Book Title"/>
    <w:uiPriority w:val="33"/>
    <w:qFormat/>
    <w:rsid w:val="004C6395"/>
    <w:rPr>
      <w:b/>
      <w:bCs/>
      <w:smallCaps/>
      <w:spacing w:val="5"/>
    </w:rPr>
  </w:style>
  <w:style w:type="paragraph" w:styleId="TOCHeading">
    <w:name w:val="TOC Heading"/>
    <w:basedOn w:val="Heading1"/>
    <w:next w:val="Normal"/>
    <w:uiPriority w:val="39"/>
    <w:semiHidden/>
    <w:unhideWhenUsed/>
    <w:qFormat/>
    <w:rsid w:val="004C6395"/>
    <w:pPr>
      <w:spacing w:before="480" w:line="240" w:lineRule="auto"/>
      <w:jc w:val="left"/>
      <w:outlineLvl w:val="9"/>
    </w:pPr>
    <w:rPr>
      <w:rFonts w:asciiTheme="majorHAnsi" w:hAnsiTheme="majorHAnsi"/>
      <w:color w:val="2E74B5" w:themeColor="accent1"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22F"/>
    <w:rPr>
      <w:rFonts w:eastAsiaTheme="minorEastAsia"/>
    </w:rPr>
  </w:style>
  <w:style w:type="paragraph" w:styleId="Heading1">
    <w:name w:val="heading 1"/>
    <w:basedOn w:val="Normal"/>
    <w:next w:val="Normal"/>
    <w:link w:val="Heading1Char"/>
    <w:autoRedefine/>
    <w:uiPriority w:val="9"/>
    <w:qFormat/>
    <w:rsid w:val="004C6395"/>
    <w:pPr>
      <w:keepNext/>
      <w:keepLines/>
      <w:jc w:val="center"/>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4C6395"/>
    <w:pPr>
      <w:keepNext/>
      <w:keepLines/>
      <w:ind w:left="360" w:hanging="360"/>
      <w:contextualSpacing/>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C6395"/>
    <w:pPr>
      <w:keepNext/>
      <w:keepLines/>
      <w:contextualSpacing/>
      <w:outlineLvl w:val="2"/>
    </w:pPr>
    <w:rPr>
      <w:rFonts w:asciiTheme="majorBidi" w:eastAsiaTheme="majorEastAsia" w:hAnsiTheme="majorBidi" w:cstheme="majorBidi"/>
      <w:b/>
      <w:bCs/>
      <w:szCs w:val="24"/>
      <w:shd w:val="clear" w:color="auto" w:fill="FFFFFF"/>
    </w:rPr>
  </w:style>
  <w:style w:type="paragraph" w:styleId="Heading4">
    <w:name w:val="heading 4"/>
    <w:basedOn w:val="Normal"/>
    <w:next w:val="Normal"/>
    <w:link w:val="Heading4Char"/>
    <w:autoRedefine/>
    <w:uiPriority w:val="9"/>
    <w:unhideWhenUsed/>
    <w:qFormat/>
    <w:rsid w:val="004C6395"/>
    <w:pPr>
      <w:keepNext/>
      <w:keepLines/>
      <w:contextualSpacing/>
      <w:outlineLvl w:val="3"/>
    </w:pPr>
    <w:rPr>
      <w:rFonts w:eastAsiaTheme="majorEastAsia" w:cstheme="majorBidi"/>
      <w:b/>
      <w:bCs/>
      <w:iCs/>
      <w:szCs w:val="26"/>
    </w:rPr>
  </w:style>
  <w:style w:type="paragraph" w:styleId="Heading5">
    <w:name w:val="heading 5"/>
    <w:basedOn w:val="Normal"/>
    <w:next w:val="Normal"/>
    <w:link w:val="Heading5Char"/>
    <w:uiPriority w:val="9"/>
    <w:semiHidden/>
    <w:unhideWhenUsed/>
    <w:qFormat/>
    <w:rsid w:val="004C6395"/>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4C6395"/>
    <w:pPr>
      <w:keepNext/>
      <w:keepLines/>
      <w:contextualSpacing/>
      <w:outlineLvl w:val="5"/>
    </w:pPr>
    <w:rPr>
      <w:rFonts w:eastAsiaTheme="majorEastAsia" w:cstheme="majorBidi"/>
      <w:iCs/>
      <w:u w:val="single"/>
    </w:rPr>
  </w:style>
  <w:style w:type="paragraph" w:styleId="Heading7">
    <w:name w:val="heading 7"/>
    <w:basedOn w:val="Normal"/>
    <w:next w:val="Normal"/>
    <w:link w:val="Heading7Char"/>
    <w:uiPriority w:val="9"/>
    <w:semiHidden/>
    <w:unhideWhenUsed/>
    <w:qFormat/>
    <w:rsid w:val="004C6395"/>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C63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639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39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C6395"/>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C6395"/>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uiPriority w:val="9"/>
    <w:rsid w:val="004C6395"/>
    <w:rPr>
      <w:rFonts w:ascii="Times New Roman" w:eastAsiaTheme="majorEastAsia" w:hAnsi="Times New Roman" w:cstheme="majorBidi"/>
      <w:b/>
      <w:bCs/>
      <w:iCs/>
      <w:sz w:val="24"/>
      <w:szCs w:val="26"/>
    </w:rPr>
  </w:style>
  <w:style w:type="character" w:customStyle="1" w:styleId="Heading5Char">
    <w:name w:val="Heading 5 Char"/>
    <w:basedOn w:val="DefaultParagraphFont"/>
    <w:link w:val="Heading5"/>
    <w:uiPriority w:val="9"/>
    <w:semiHidden/>
    <w:rsid w:val="004C6395"/>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4C6395"/>
    <w:rPr>
      <w:rFonts w:ascii="Times New Roman" w:eastAsiaTheme="majorEastAsia" w:hAnsi="Times New Roman" w:cstheme="majorBidi"/>
      <w:iCs/>
      <w:sz w:val="24"/>
      <w:u w:val="single"/>
    </w:rPr>
  </w:style>
  <w:style w:type="character" w:customStyle="1" w:styleId="Heading7Char">
    <w:name w:val="Heading 7 Char"/>
    <w:basedOn w:val="DefaultParagraphFont"/>
    <w:link w:val="Heading7"/>
    <w:uiPriority w:val="9"/>
    <w:semiHidden/>
    <w:rsid w:val="004C6395"/>
    <w:rPr>
      <w:rFonts w:ascii="Times New Roman" w:eastAsiaTheme="majorEastAsia" w:hAnsi="Times New Roman" w:cstheme="majorBidi"/>
      <w:i/>
      <w:iCs/>
      <w:sz w:val="24"/>
    </w:rPr>
  </w:style>
  <w:style w:type="character" w:customStyle="1" w:styleId="Heading8Char">
    <w:name w:val="Heading 8 Char"/>
    <w:basedOn w:val="DefaultParagraphFont"/>
    <w:link w:val="Heading8"/>
    <w:uiPriority w:val="9"/>
    <w:semiHidden/>
    <w:rsid w:val="004C63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639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C6395"/>
    <w:rPr>
      <w:b/>
      <w:bCs/>
      <w:color w:val="5B9BD5" w:themeColor="accent1"/>
      <w:sz w:val="18"/>
      <w:szCs w:val="18"/>
    </w:rPr>
  </w:style>
  <w:style w:type="paragraph" w:styleId="Title">
    <w:name w:val="Title"/>
    <w:basedOn w:val="Normal"/>
    <w:next w:val="Normal"/>
    <w:link w:val="TitleChar"/>
    <w:uiPriority w:val="10"/>
    <w:qFormat/>
    <w:rsid w:val="004C639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C6395"/>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C6395"/>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4C6395"/>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4C6395"/>
    <w:rPr>
      <w:b/>
      <w:bCs/>
    </w:rPr>
  </w:style>
  <w:style w:type="character" w:styleId="Emphasis">
    <w:name w:val="Emphasis"/>
    <w:basedOn w:val="DefaultParagraphFont"/>
    <w:uiPriority w:val="20"/>
    <w:qFormat/>
    <w:rsid w:val="004C6395"/>
    <w:rPr>
      <w:i/>
      <w:iCs/>
    </w:rPr>
  </w:style>
  <w:style w:type="paragraph" w:styleId="NoSpacing">
    <w:name w:val="No Spacing"/>
    <w:link w:val="NoSpacingChar"/>
    <w:uiPriority w:val="1"/>
    <w:qFormat/>
    <w:rsid w:val="004C6395"/>
    <w:pPr>
      <w:bidi/>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C6395"/>
    <w:rPr>
      <w:rFonts w:ascii="Times New Roman" w:hAnsi="Times New Roman"/>
      <w:sz w:val="24"/>
    </w:rPr>
  </w:style>
  <w:style w:type="paragraph" w:styleId="ListParagraph">
    <w:name w:val="List Paragraph"/>
    <w:basedOn w:val="Normal"/>
    <w:uiPriority w:val="34"/>
    <w:qFormat/>
    <w:rsid w:val="004C6395"/>
    <w:pPr>
      <w:ind w:left="720"/>
      <w:contextualSpacing/>
    </w:pPr>
  </w:style>
  <w:style w:type="paragraph" w:styleId="Quote">
    <w:name w:val="Quote"/>
    <w:basedOn w:val="Normal"/>
    <w:next w:val="Normal"/>
    <w:link w:val="QuoteChar"/>
    <w:uiPriority w:val="29"/>
    <w:qFormat/>
    <w:rsid w:val="004C6395"/>
    <w:rPr>
      <w:i/>
      <w:iCs/>
      <w:color w:val="000000" w:themeColor="text1"/>
    </w:rPr>
  </w:style>
  <w:style w:type="character" w:customStyle="1" w:styleId="QuoteChar">
    <w:name w:val="Quote Char"/>
    <w:basedOn w:val="DefaultParagraphFont"/>
    <w:link w:val="Quote"/>
    <w:uiPriority w:val="29"/>
    <w:rsid w:val="004C6395"/>
    <w:rPr>
      <w:rFonts w:ascii="Times New Roman" w:hAnsi="Times New Roman"/>
      <w:i/>
      <w:iCs/>
      <w:color w:val="000000" w:themeColor="text1"/>
      <w:sz w:val="24"/>
    </w:rPr>
  </w:style>
  <w:style w:type="paragraph" w:styleId="IntenseQuote">
    <w:name w:val="Intense Quote"/>
    <w:basedOn w:val="Normal"/>
    <w:next w:val="Normal"/>
    <w:link w:val="IntenseQuoteChar"/>
    <w:uiPriority w:val="30"/>
    <w:qFormat/>
    <w:rsid w:val="004C6395"/>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C6395"/>
    <w:rPr>
      <w:rFonts w:ascii="Times New Roman" w:hAnsi="Times New Roman"/>
      <w:b/>
      <w:bCs/>
      <w:i/>
      <w:iCs/>
      <w:color w:val="5B9BD5" w:themeColor="accent1"/>
      <w:sz w:val="24"/>
    </w:rPr>
  </w:style>
  <w:style w:type="character" w:styleId="SubtleEmphasis">
    <w:name w:val="Subtle Emphasis"/>
    <w:basedOn w:val="DefaultParagraphFont"/>
    <w:uiPriority w:val="19"/>
    <w:qFormat/>
    <w:rsid w:val="004C6395"/>
    <w:rPr>
      <w:i/>
      <w:iCs/>
      <w:color w:val="808080" w:themeColor="text1" w:themeTint="7F"/>
    </w:rPr>
  </w:style>
  <w:style w:type="character" w:styleId="IntenseEmphasis">
    <w:name w:val="Intense Emphasis"/>
    <w:uiPriority w:val="21"/>
    <w:qFormat/>
    <w:rsid w:val="004C6395"/>
    <w:rPr>
      <w:b/>
      <w:bCs/>
      <w:i/>
      <w:iCs/>
      <w:color w:val="5B9BD5" w:themeColor="accent1"/>
    </w:rPr>
  </w:style>
  <w:style w:type="character" w:styleId="SubtleReference">
    <w:name w:val="Subtle Reference"/>
    <w:basedOn w:val="DefaultParagraphFont"/>
    <w:uiPriority w:val="31"/>
    <w:qFormat/>
    <w:rsid w:val="004C6395"/>
    <w:rPr>
      <w:smallCaps/>
      <w:color w:val="ED7D31" w:themeColor="accent2"/>
      <w:u w:val="single"/>
    </w:rPr>
  </w:style>
  <w:style w:type="character" w:styleId="IntenseReference">
    <w:name w:val="Intense Reference"/>
    <w:uiPriority w:val="32"/>
    <w:qFormat/>
    <w:rsid w:val="004C6395"/>
    <w:rPr>
      <w:b/>
      <w:bCs/>
      <w:smallCaps/>
      <w:color w:val="ED7D31" w:themeColor="accent2"/>
      <w:spacing w:val="5"/>
      <w:u w:val="single"/>
    </w:rPr>
  </w:style>
  <w:style w:type="character" w:styleId="BookTitle">
    <w:name w:val="Book Title"/>
    <w:uiPriority w:val="33"/>
    <w:qFormat/>
    <w:rsid w:val="004C6395"/>
    <w:rPr>
      <w:b/>
      <w:bCs/>
      <w:smallCaps/>
      <w:spacing w:val="5"/>
    </w:rPr>
  </w:style>
  <w:style w:type="paragraph" w:styleId="TOCHeading">
    <w:name w:val="TOC Heading"/>
    <w:basedOn w:val="Heading1"/>
    <w:next w:val="Normal"/>
    <w:uiPriority w:val="39"/>
    <w:semiHidden/>
    <w:unhideWhenUsed/>
    <w:qFormat/>
    <w:rsid w:val="004C6395"/>
    <w:pPr>
      <w:spacing w:before="480" w:line="240" w:lineRule="auto"/>
      <w:jc w:val="left"/>
      <w:outlineLvl w:val="9"/>
    </w:pPr>
    <w:rPr>
      <w:rFonts w:asciiTheme="majorHAnsi" w:hAnsiTheme="majorHAnsi"/>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ImageCreateDate xmlns="7E34EE24-94DD-4BD7-9137-9FFAAF37D360"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7304C04C741024984497C7109FA650C" ma:contentTypeVersion="1" ma:contentTypeDescription="Upload an image." ma:contentTypeScope="" ma:versionID="c9334997baafc8a5c38bcaa519300bb2">
  <xsd:schema xmlns:xsd="http://www.w3.org/2001/XMLSchema" xmlns:xs="http://www.w3.org/2001/XMLSchema" xmlns:p="http://schemas.microsoft.com/office/2006/metadata/properties" xmlns:ns1="http://schemas.microsoft.com/sharepoint/v3" xmlns:ns2="7E34EE24-94DD-4BD7-9137-9FFAAF37D360" xmlns:ns3="http://schemas.microsoft.com/sharepoint/v3/fields" targetNamespace="http://schemas.microsoft.com/office/2006/metadata/properties" ma:root="true" ma:fieldsID="8352cff7156596ac95be6cf52f34f3ff" ns1:_="" ns2:_="" ns3:_="">
    <xsd:import namespace="http://schemas.microsoft.com/sharepoint/v3"/>
    <xsd:import namespace="7E34EE24-94DD-4BD7-9137-9FFAAF37D360"/>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34EE24-94DD-4BD7-9137-9FFAAF37D360"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F020C-434F-40C4-A474-124C0E7A1329}"/>
</file>

<file path=customXml/itemProps2.xml><?xml version="1.0" encoding="utf-8"?>
<ds:datastoreItem xmlns:ds="http://schemas.openxmlformats.org/officeDocument/2006/customXml" ds:itemID="{DC0AD1C2-649B-4938-B560-FCF14C76BC1E}"/>
</file>

<file path=customXml/itemProps3.xml><?xml version="1.0" encoding="utf-8"?>
<ds:datastoreItem xmlns:ds="http://schemas.openxmlformats.org/officeDocument/2006/customXml" ds:itemID="{6FF436F7-C33F-4011-A165-E06FF1A08569}"/>
</file>

<file path=docProps/app.xml><?xml version="1.0" encoding="utf-8"?>
<Properties xmlns="http://schemas.openxmlformats.org/officeDocument/2006/extended-properties" xmlns:vt="http://schemas.openxmlformats.org/officeDocument/2006/docPropsVTypes">
  <Template>Normal.dotm</Template>
  <TotalTime>1</TotalTime>
  <Pages>8</Pages>
  <Words>2229</Words>
  <Characters>12708</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Learning Activities:</vt:lpstr>
    </vt:vector>
  </TitlesOfParts>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Details.docx</dc:title>
  <dc:creator>Jumana</dc:creator>
  <cp:keywords/>
  <dc:description/>
  <cp:lastModifiedBy>Jumana</cp:lastModifiedBy>
  <cp:revision>1</cp:revision>
  <dcterms:created xsi:type="dcterms:W3CDTF">2015-09-16T08:00:00Z</dcterms:created>
  <dcterms:modified xsi:type="dcterms:W3CDTF">2015-09-16T08:01:00Z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0x0101009148F5A04DDD49CBA7127AADA5FB792B00AADE34325A8B49CDA8BB4DB53328F2140007304C04C741024984497C7109FA650C</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